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13.02.2026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pPr>
      <w:r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  <w:t xml:space="preserve">Приморский Росреестр </w:t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none"/>
          <w:u w:val="single"/>
        </w:rPr>
        <w:t xml:space="preserve">разъясняет как проверить подлинность выписки из Единого государственного реестра недвижимости</w:t>
      </w:r>
      <w:r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28"/>
          <w:szCs w:val="28"/>
          <w:highlight w:val="white"/>
          <w:u w:val="single"/>
        </w:rPr>
      </w:pP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 w:val="0"/>
          <w:i w:val="0"/>
          <w:color w:val="273350"/>
          <w:sz w:val="28"/>
          <w:szCs w:val="28"/>
          <w:highlight w:val="white"/>
          <w:u w:val="single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Вып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иска из Е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диного государственного реестра недвижимости (ЕГРН) подтверждает права собственности и юридическую чистоту объекта. Проверка её подлинности необходима перед совершением любых сделок с недвижимостью, чтобы избежать мошеннических действий и финансовых потерь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Как проверить подлинность выписки из ЕГРН - способы проверки зависят от формата выписки: бумажной или электронной.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right="0" w:firstLine="567"/>
        <w:jc w:val="both"/>
        <w:spacing w:line="70" w:lineRule="atLeast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222"/>
          <w:spacing w:val="-5"/>
          <w:sz w:val="28"/>
          <w:szCs w:val="28"/>
        </w:rPr>
        <w:t xml:space="preserve">Способ 1: Проверка бумажного варианта с использованием QR-кода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Самый быстрый метод проверки подлинности бумажного документа - сканирование QR-кода. Этот код размещён в правом верхнем углу всех официальных выписок из МФЦ или Росреестра. Отсканировав QR-код камерой телефона, вы попадёте на официальный сайт Росреестра, г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де сможете увидеть подтверждение или опровержение подлинности выписки и её содержания. Важно помнить, что само наличие QR-кода не гарантирует оригинальность документа - необходимо обязательно отсканировать 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right="0" w:firstLine="567"/>
        <w:jc w:val="both"/>
        <w:spacing w:line="70" w:lineRule="atLeast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222"/>
          <w:spacing w:val="-5"/>
          <w:sz w:val="28"/>
          <w:szCs w:val="28"/>
        </w:rPr>
        <w:t xml:space="preserve">Способ 2: Проверка электронной выписки с электронно-цифровой подписью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Электронная выписка обладает той же юридической силой, что и бумажная версия, однако вместо печати она защищена электронно-цифровой подписью Росреестра. Электронная выписка обычно предоставляется архивом, включающим три файла: сам файл с данными, файл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электронной подписи и выписку в удобном для чтения формате.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Для проверки подлинности выполните следующие шаги: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numPr>
          <w:ilvl w:val="0"/>
          <w:numId w:val="20"/>
        </w:num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Перейдите на специальный сервис «Проверка электронного документа» на сайте Росреестра.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5"/>
        <w:numPr>
          <w:ilvl w:val="0"/>
          <w:numId w:val="20"/>
        </w:numPr>
        <w:ind w:left="0" w:right="0" w:firstLine="567"/>
        <w:jc w:val="both"/>
        <w:spacing w:before="3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Загрузите файлы: выписку и электронную подпись.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numPr>
          <w:ilvl w:val="0"/>
          <w:numId w:val="20"/>
        </w:numPr>
        <w:ind w:left="0" w:right="0" w:firstLine="567"/>
        <w:jc w:val="both"/>
        <w:spacing w:before="30" w:after="0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Нажмите кнопку «Проверить».Система мгновенно подтвердит подлинность вашей выписки. Обязательно передавайте обе час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ти (файл выписки и файл подписи) вместе, иначе документ не будет иметь юридической силы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ind w:left="0" w:right="0" w:firstLine="567"/>
        <w:jc w:val="both"/>
        <w:spacing w:line="70" w:lineRule="atLeast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22222"/>
          <w:spacing w:val="-5"/>
          <w:sz w:val="28"/>
          <w:szCs w:val="28"/>
        </w:rPr>
        <w:t xml:space="preserve">Для чего необходимо проверять выписку из ЕГРН?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 тем как приобретать объект недвижимости необходимо проверить выписку из ЕГРН указанными ранее способами, а также можно самостоятельно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 на интересующий вас объект недвижимости.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способе есть ограничения: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с 1 марта 2023 года в выписке не отображаются персональные данные собственника (ФИО, дата рождения).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доступа к сведениям правообладателя необходимо его личное волеизъявление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 внесении в ЕГРН соответствующей записи.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Заявление можно подать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лично в офисах МФЦ и в электронном виде при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мощи сайта Росреестра или портала Госуслуг. Запись в ЕГРН допускается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одного или нескольких принадлежащих правообладателю объектов недвижимости, которую можно погасить в</w:t>
      </w:r>
      <w:r>
        <w:rPr>
          <w:rFonts w:ascii="Times New Roman" w:hAnsi="Times New Roman" w:cs="Times New Roman"/>
          <w:sz w:val="28"/>
          <w:szCs w:val="28"/>
        </w:rPr>
        <w:t xml:space="preserve"> любой момент. </w:t>
      </w:r>
      <w:r>
        <w:rPr>
          <w:rFonts w:ascii="Times New Roman" w:hAnsi="Times New Roman" w:cs="Times New Roman"/>
          <w:sz w:val="28"/>
          <w:szCs w:val="28"/>
        </w:rPr>
        <w:t xml:space="preserve">Внесение/погашение записи в ЕГРН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персональных данных осуществляется без </w:t>
      </w:r>
      <w:r>
        <w:rPr>
          <w:rFonts w:ascii="Times New Roman" w:hAnsi="Times New Roman" w:cs="Times New Roman"/>
          <w:sz w:val="28"/>
          <w:szCs w:val="28"/>
        </w:rPr>
        <w:t xml:space="preserve">взимания госпошлины.</w:t>
      </w:r>
      <w:r/>
      <w:r/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Важно: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отсутствии записи персональные данные в выписке из ЕГРН будут отсутствовать и в строке о правообладателе будет указано «физическое лицо».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Используйте только те документы, чья подлинность удостоверена и официально подтверждена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80808"/>
        <w:spacing w:val="-5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132</cp:revision>
  <dcterms:created xsi:type="dcterms:W3CDTF">2023-08-16T23:21:00Z</dcterms:created>
  <dcterms:modified xsi:type="dcterms:W3CDTF">2026-02-12T22:56:20Z</dcterms:modified>
</cp:coreProperties>
</file>