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21.01.2026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40"/>
          <w:szCs w:val="40"/>
          <w:highlight w:val="none"/>
        </w:rPr>
      </w:pPr>
      <w:r>
        <w:rPr>
          <w:rFonts w:ascii="Nimbus Roman" w:hAnsi="Nimbus Roman" w:cs="Nimbus Roman"/>
          <w:b/>
          <w:bCs w:val="0"/>
          <w:i w:val="0"/>
          <w:color w:val="273350"/>
          <w:sz w:val="40"/>
          <w:szCs w:val="40"/>
          <w:highlight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40"/>
          <w:szCs w:val="40"/>
          <w:highlight w:val="white"/>
        </w:rPr>
        <w:t xml:space="preserve">Комплексные кадастровые работы в Приморье</w:t>
      </w:r>
      <w:r>
        <w:rPr>
          <w:rFonts w:ascii="Nimbus Roman" w:hAnsi="Nimbus Roman" w:cs="Nimbus Roman"/>
          <w:b/>
          <w:bCs/>
          <w:i w:val="0"/>
          <w:color w:val="273350"/>
          <w:sz w:val="40"/>
          <w:szCs w:val="40"/>
          <w:highlight w:val="whit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40"/>
          <w:szCs w:val="40"/>
          <w:highlight w:val="white"/>
        </w:rPr>
      </w:pPr>
      <w:r>
        <w:rPr>
          <w:rFonts w:ascii="Nimbus Roman" w:hAnsi="Nimbus Roman" w:cs="Nimbus Roman"/>
          <w:b/>
          <w:bCs/>
          <w:i w:val="0"/>
          <w:color w:val="273350"/>
          <w:sz w:val="40"/>
          <w:szCs w:val="40"/>
          <w:highlight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40"/>
          <w:szCs w:val="40"/>
          <w:highlight w:val="none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highlight w:val="none"/>
          <w:lang w:eastAsia="zh-CN"/>
        </w:rPr>
        <w:t xml:space="preserve">В 2025 году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highlight w:val="none"/>
          <w:lang w:eastAsia="zh-CN"/>
        </w:rPr>
        <w:t xml:space="preserve">на территории Приморского края впервые проводились комплексные кадастровые работы  (ККР) федерального значения, то есть за счет средств федерального бюджета.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zh-CN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Напомним, что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омплексные кадастровые работы необходимы для: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right="0"/>
        <w:jc w:val="both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уточнения  или установления границ земельных участков, зданий, сооружений, объектов незавершенного строительства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869"/>
        <w:numPr>
          <w:ilvl w:val="0"/>
          <w:numId w:val="17"/>
        </w:numPr>
        <w:ind w:right="0"/>
        <w:jc w:val="both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исправления реестровых ошибок;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869"/>
        <w:numPr>
          <w:ilvl w:val="0"/>
          <w:numId w:val="17"/>
        </w:numPr>
        <w:ind w:right="0"/>
        <w:jc w:val="both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снижения  количества земельных споров</w:t>
      </w:r>
      <w:r>
        <w:rPr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Давайте подведем итоги  федеральных ККР 2025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Итак, масштабная работа проведена на территории 14 муниципальных образований в граница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 73 кадастровых кварталов общей площадью более 3737 тысячи гектаров.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результатам работ: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Единый государственный рее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 недвижимости внесены сведения в отношении   37 800 объектов,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том числе 15 603 земельных участков и 22 197 зданий, сооружений, а также объектов незавершенного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уточнены границы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6 714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земельных участков и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21 239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капитального строительства;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исправлены реестровые ошибки в местоположении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8 333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земельных участков и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943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объектов капительного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образован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571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новый земельный участок.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Комплексные кадастровые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работы помогают навести порядок с границами земельных участков, поставить на учет отсутствующие в реестре объекты недвижимости, таким образом  защитить права собственников таких объектов, исключив финансовые расходы на проведение кадастровых работ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» – комментирует и.о. заместителя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руководителя Управления Росреестра по Приморскому краю Мезенин Артем</w:t>
      </w:r>
      <w:r>
        <w:rPr>
          <w:rFonts w:ascii="Times New Roman" w:hAnsi="Times New Roman" w:cs="Times New Roman"/>
          <w:bCs/>
          <w:i/>
          <w:iCs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Cs w:val="0"/>
          <w:i/>
          <w:iCs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сведения: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2026 году запланировано проведение комплексных кадастровых работ в 302 кадастровых кварталах на территории 15 муниципальных образований Приморского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Работаем для людей.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128</cp:revision>
  <dcterms:created xsi:type="dcterms:W3CDTF">2023-08-16T23:21:00Z</dcterms:created>
  <dcterms:modified xsi:type="dcterms:W3CDTF">2026-01-21T03:18:35Z</dcterms:modified>
</cp:coreProperties>
</file>