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31.01.2025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center"/>
        <w:rPr>
          <w:rFonts w:ascii="Times New Roman" w:hAnsi="Times New Roman" w:eastAsia="Times New Roman"/>
          <w:b/>
          <w:bCs w:val="0"/>
          <w:i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/>
          <w:b/>
          <w:bCs/>
          <w:i w:val="0"/>
          <w:iCs w:val="0"/>
          <w:sz w:val="28"/>
          <w:szCs w:val="28"/>
          <w:highlight w:val="none"/>
        </w:rPr>
        <w:t xml:space="preserve">Более 185 тысяч правоустанавливающих документов Приморский Росреестр передал в муниципалитеты края</w:t>
      </w:r>
      <w:r>
        <w:rPr>
          <w:rFonts w:ascii="Times New Roman" w:hAnsi="Times New Roman" w:eastAsia="Times New Roman"/>
          <w:b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bCs w:val="0"/>
          <w:i w:val="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/>
          <w:b w:val="0"/>
          <w:bCs w:val="0"/>
          <w:i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О каких документах идет речь?</w:t>
      </w:r>
      <w:r>
        <w:rPr>
          <w:rFonts w:ascii="Times New Roman" w:hAnsi="Times New Roman" w:eastAsia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/>
          <w:b w:val="0"/>
          <w:bCs w:val="0"/>
          <w:i w:val="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Это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оригиналы документов, удостоверяющие права на ранее учтенные земельные участки и оформленные до дня вступления в силу Федерального закона от 21.07.1997 № 122-ФЗ «О государственно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й регистрации прав на недвижимое имущество и сделок с ним». 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К таким документам относятся:  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Свидетельства о праве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(на право) собственности на землю;  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/>
          <w:bCs w:val="0"/>
          <w:i w:val="0"/>
          <w:iCs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b/>
          <w:bCs/>
          <w:i w:val="0"/>
          <w:iCs w:val="0"/>
          <w:sz w:val="28"/>
          <w:szCs w:val="28"/>
          <w:lang w:eastAsia="ru-RU"/>
        </w:rPr>
        <w:t xml:space="preserve">Государственные акты </w:t>
      </w:r>
      <w:r>
        <w:rPr>
          <w:rFonts w:ascii="Times New Roman" w:hAnsi="Times New Roman" w:eastAsia="Times New Roman"/>
          <w:i w:val="0"/>
          <w:iCs w:val="0"/>
          <w:sz w:val="28"/>
          <w:szCs w:val="28"/>
          <w:lang w:eastAsia="ru-RU"/>
        </w:rPr>
        <w:t xml:space="preserve">на право бессрочного (постоянного) пользования землей, которые были выда</w:t>
      </w:r>
      <w:r>
        <w:rPr>
          <w:rFonts w:ascii="Times New Roman" w:hAnsi="Times New Roman" w:eastAsia="Times New Roman"/>
          <w:i w:val="0"/>
          <w:iCs w:val="0"/>
          <w:sz w:val="28"/>
          <w:szCs w:val="28"/>
          <w:lang w:eastAsia="ru-RU"/>
        </w:rPr>
        <w:t xml:space="preserve">ны городскими или районными Комитетами по земельным ресурсам и землеустройству в период с 1993 по 2001 год включительно. </w:t>
      </w:r>
      <w:r>
        <w:rPr>
          <w:rFonts w:ascii="Times New Roman" w:hAnsi="Times New Roman" w:eastAsia="Times New Roman"/>
          <w:bCs w:val="0"/>
          <w:i w:val="0"/>
          <w:iCs/>
          <w:sz w:val="28"/>
          <w:szCs w:val="28"/>
        </w:rPr>
      </w:r>
      <w:r>
        <w:rPr>
          <w:rFonts w:ascii="Times New Roman" w:hAnsi="Times New Roman" w:eastAsia="Times New Roman"/>
          <w:bCs w:val="0"/>
          <w:i w:val="0"/>
          <w:iCs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/>
          <w:bCs w:val="0"/>
          <w:i w:val="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/>
          <w:i w:val="0"/>
          <w:iCs w:val="0"/>
          <w:sz w:val="28"/>
          <w:szCs w:val="28"/>
          <w:lang w:eastAsia="ru-RU"/>
        </w:rPr>
        <w:t xml:space="preserve">Чаще всего такие документы тр</w:t>
      </w:r>
      <w:r>
        <w:rPr>
          <w:rFonts w:ascii="Times New Roman" w:hAnsi="Times New Roman" w:eastAsia="Times New Roman"/>
          <w:i w:val="0"/>
          <w:iCs w:val="0"/>
          <w:sz w:val="28"/>
          <w:szCs w:val="28"/>
          <w:lang w:eastAsia="ru-RU"/>
        </w:rPr>
        <w:t xml:space="preserve">ебуются правообладателям земельных участков или их наследникам для осуществления государственного кадастрового учета земельных участков, государственной регистрации права, а также при уточнении границ земельных участков в составе садоводческих товариществ.</w:t>
      </w:r>
      <w:r>
        <w:rPr>
          <w:rFonts w:ascii="Times New Roman" w:hAnsi="Times New Roman" w:eastAsia="Times New Roman"/>
          <w:bCs w:val="0"/>
          <w:i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bCs w:val="0"/>
          <w:i w:val="0"/>
          <w:sz w:val="28"/>
          <w:szCs w:val="28"/>
          <w:highlight w:val="none"/>
          <w:lang w:eastAsia="ru-RU"/>
        </w:rPr>
      </w:r>
    </w:p>
    <w:p>
      <w:pPr>
        <w:ind w:firstLine="720"/>
        <w:jc w:val="both"/>
        <w:shd w:val="clear" w:color="ffffff" w:themeColor="background1" w:fill="ffffff" w:themeFill="background1"/>
        <w:rPr>
          <w:rFonts w:ascii="Times New Roman" w:hAnsi="Times New Roman" w:eastAsia="Times New Roman"/>
          <w:b w:val="0"/>
          <w:bCs/>
          <w:i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/>
          <w:i w:val="0"/>
          <w:iCs w:val="0"/>
          <w:sz w:val="28"/>
          <w:szCs w:val="28"/>
          <w:highlight w:val="none"/>
          <w:lang w:eastAsia="ru-RU"/>
        </w:rPr>
        <w:t xml:space="preserve">С 01 января 2025 года за получением копий </w:t>
      </w:r>
      <w:r>
        <w:rPr>
          <w:rFonts w:ascii="Times New Roman" w:hAnsi="Times New Roman" w:eastAsia="Times New Roman"/>
          <w:b/>
          <w:bCs/>
          <w:i w:val="0"/>
          <w:iCs w:val="0"/>
          <w:sz w:val="28"/>
          <w:szCs w:val="28"/>
          <w:highlight w:val="none"/>
          <w:lang w:eastAsia="ru-RU"/>
        </w:rPr>
        <w:t xml:space="preserve">Свидетельства </w:t>
      </w:r>
      <w:r>
        <w:rPr>
          <w:rFonts w:ascii="Times New Roman" w:hAnsi="Times New Roman" w:eastAsia="Times New Roman"/>
          <w:i w:val="0"/>
          <w:iCs w:val="0"/>
          <w:sz w:val="28"/>
          <w:szCs w:val="28"/>
          <w:highlight w:val="none"/>
          <w:lang w:eastAsia="ru-RU"/>
        </w:rPr>
        <w:t xml:space="preserve">и </w:t>
      </w:r>
      <w:r>
        <w:rPr>
          <w:rFonts w:ascii="Times New Roman" w:hAnsi="Times New Roman" w:eastAsia="Times New Roman"/>
          <w:b/>
          <w:bCs/>
          <w:i w:val="0"/>
          <w:iCs w:val="0"/>
          <w:sz w:val="28"/>
          <w:szCs w:val="28"/>
          <w:highlight w:val="none"/>
          <w:lang w:eastAsia="ru-RU"/>
        </w:rPr>
        <w:t xml:space="preserve">Государственного акта 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на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право пользования землей необходимо обращаться в администрацию муниципального образования (муниципа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льного района, муниципального округа, городского округа) по месту расположения земельного участка. Такая передача документов обусловлена частью 5 ст. 6 Федерального закона № 518 «О внесении изменений в отдельные законодательные акты Российской Федерации». </w:t>
      </w:r>
      <w:r>
        <w:rPr>
          <w:rFonts w:ascii="Times New Roman" w:hAnsi="Times New Roman" w:eastAsia="Times New Roman"/>
          <w:b w:val="0"/>
          <w:bCs/>
          <w:i/>
          <w:sz w:val="28"/>
          <w:szCs w:val="28"/>
          <w:highlight w:val="none"/>
        </w:rPr>
      </w:r>
      <w:r>
        <w:rPr>
          <w:rFonts w:ascii="Times New Roman" w:hAnsi="Times New Roman" w:eastAsia="Times New Roman"/>
          <w:b w:val="0"/>
          <w:bCs/>
          <w:i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1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2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2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2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1">
    <w:name w:val="Heading 1"/>
    <w:basedOn w:val="850"/>
    <w:next w:val="850"/>
    <w:link w:val="8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0"/>
    <w:link w:val="856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50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50"/>
    <w:link w:val="863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character" w:styleId="866">
    <w:name w:val="FollowedHyperlink"/>
    <w:basedOn w:val="852"/>
    <w:uiPriority w:val="99"/>
    <w:semiHidden/>
    <w:unhideWhenUsed/>
    <w:rPr>
      <w:color w:val="954f72" w:themeColor="followedHyperlink"/>
      <w:u w:val="single"/>
    </w:rPr>
  </w:style>
  <w:style w:type="paragraph" w:styleId="867">
    <w:name w:val="Normal (Web)"/>
    <w:basedOn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81</cp:revision>
  <dcterms:created xsi:type="dcterms:W3CDTF">2023-08-16T23:21:00Z</dcterms:created>
  <dcterms:modified xsi:type="dcterms:W3CDTF">2025-01-31T05:10:38Z</dcterms:modified>
</cp:coreProperties>
</file>