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29.08.2025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 Приморье продолжается проведение комплексных кадастровых работ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90" w:after="300" w:line="420" w:lineRule="atLeast"/>
        <w:shd w:val="clear" w:color="ffffff" w:fill="ffffff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Владельцы объектов недвижимости, расположенных на территориях проведения комплексных кадастровых работ, продолжают получать извещения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о начале их выполнения.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Граждане задаются вопросом, как правильно поступить и что дальше делать?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90" w:after="300" w:line="420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Дава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йте разбираться.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90" w:after="300" w:line="340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Если через портал Госуслуг вам поступило  уведомление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о начале выполнения комплексных кадастровых работ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то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не стоит паниковать и беспокоится. Это означает, что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 являетесь собственником объекта недвижимости, расположенного на территории кадастрового квартала, на которой выполняются комплек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сные кадастровые работы.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150" w:line="340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Комплексные кадастровые работы – это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работы по упо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рядочению всех объектов недвижимости, расположенных в пределах определённого кадастрового квартала. А для собственника  – это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возможность без финансовых затрат уточнить границы и характеристики принадлежащих вам объектов недвижимости, устранить реестровые ошибки и убедиться, что все ваши объекты правильно зарегистрированы.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150" w:line="340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Наличие в ЕГРН границ объекта сегодня особенно  актуально, так как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 марта 2025 года совершить сделку с земельными участками без установленных границ уже невозможно. Регистрация такой сделки приостанавливается до проведения межевания.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90" w:after="300" w:line="340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извещении о начале выполнения ККР указаны сведения о месте проведения ККР, планируемом периоде их выполнения, информация о заказчике и исполнителе  работ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редоставить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имеющиеся у вас материалы и документы,  устанавливающие или подтверждающие права на недвижимость.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9"/>
        <w:ind w:left="0" w:right="0" w:firstLine="708"/>
        <w:jc w:val="both"/>
        <w:spacing w:after="147" w:afterAutospacing="0" w:line="340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латить за проведение ККР вам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 придется,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проводятся за счет федеральной субсидии, 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исполнителем работ в 2025 году выступает Филиал ППК «Роскадастр» по Приморскому краю.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9"/>
        <w:ind w:left="0" w:right="0" w:firstLine="708"/>
        <w:jc w:val="both"/>
        <w:spacing w:after="147" w:afterAutospacing="0" w:line="340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результатам выпо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лнения ККР исполнителем работ готовится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карта-план территории, содержащая необходимые сведения об объектах для внесения их в ЕГРН,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которая размещается вместе с извещениями о проведении согласительных комиссий на сайтах администраций муниципальных образований.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90" w:after="147" w:afterAutospacing="0" w:line="340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Собственники имущества могут участвовать в заседаниях согласительных комиссий. 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сли возникли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возражения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 границам, указанным в карте-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плане, их мо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жно подать в комиссию в письменном виде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период со дня опубликования извещения о проведении заседания до дня проведения данного заседания, а также в течение 35 календарных дней со дня проведения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первого заседания согласительной комиссии.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90" w:after="147" w:afterAutospacing="0" w:line="340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Если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озражения не поступят, границы будут считаться согласованными.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В 2025 году за счет федеральной субсидии на территории Приморского края ККР проводятся в 72 кадастровых кварталах. 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Арсеньевском, Владивостокском, Спасском, Партизанском городских округах работы уже завершены,  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Лесозаводском городском округе, Черниговском, Хорольском и Лазовском муниципальных округах -  выходят на завершающую стадию,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в Артёмовском городском округе, Надеждинском и Михайловском муниципальных районах работы еще продолжаются.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highlight w:val="white"/>
        </w:rPr>
        <w:t xml:space="preserve">Собственникам объектов, расположенных на территориях проведения ККР,  не нужно обращаться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highlight w:val="white"/>
        </w:rPr>
        <w:t xml:space="preserve"> в рег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highlight w:val="white"/>
        </w:rPr>
        <w:t xml:space="preserve">истрирующий орган с заявлениями о внесении в Единый государственный реестр недвижимости сведений о границах земельного участка или уточнении местоположения здания. Соответствующие сведения в государственный реестр недвижимости будет внесена без их участия»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– поясняет и.о. заместителя руководителя Управления Росреестра по Приморскому краю Артем Мезенин.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br/>
      </w: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951369907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116</cp:revision>
  <dcterms:created xsi:type="dcterms:W3CDTF">2023-08-16T23:21:00Z</dcterms:created>
  <dcterms:modified xsi:type="dcterms:W3CDTF">2025-08-29T04:49:21Z</dcterms:modified>
</cp:coreProperties>
</file>