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57"/>
      </w:pPr>
      <w:r/>
      <w:r/>
    </w:p>
    <w:p>
      <w:pPr>
        <w:pStyle w:val="85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27.03.2025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Пресс-служба Управления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Росреестра по Приморскому краю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</w:r>
    </w:p>
    <w:p>
      <w:pPr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+7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(423)</w:t>
      </w:r>
      <w:r>
        <w:rPr>
          <w:rFonts w:ascii="Times New Roman" w:hAnsi="Times New Roman" w:eastAsia="Calibri" w:cs="Times New Roman"/>
          <w:sz w:val="28"/>
          <w:szCs w:val="28"/>
          <w:lang w:val="en-US" w:eastAsia="en-US"/>
        </w:rPr>
        <w:t xml:space="preserve"> </w:t>
      </w: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245-49-23, доб. 1085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25press_rosreestr@mail.ru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690091, Владивосток, ул.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Посьетская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 xml:space="preserve">48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51"/>
        <w:ind w:left="0" w:right="0" w:firstLine="0"/>
        <w:jc w:val="center"/>
        <w:spacing w:before="0" w:line="79" w:lineRule="atLeast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pacing w:val="2"/>
          <w:sz w:val="28"/>
          <w:szCs w:val="28"/>
        </w:rPr>
        <w:t xml:space="preserve">Что делать собственнику, если на его земельном участке расположен пункт ГГС?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left="0" w:right="0" w:firstLine="720"/>
        <w:jc w:val="both"/>
        <w:spacing w:before="0" w:after="0" w:line="288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сегодняшний день в Приморском крае установлено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более 4 тысяч  пунктов государственной геодезической сети (ГГС), порядка 9,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 тысяч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пунктов государственной нивелирной сети (ГНС) и 16 пунктов гравиметрической сети (ГГрС). 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720"/>
        <w:jc w:val="both"/>
        <w:spacing w:before="0" w:after="120"/>
        <w:shd w:val="clear" w:color="ffffff" w:fill="ffffff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Напоминаем, что геодезические пункты являются носителями  координат и высот на территории РФ, поэтому они обеспечивают высокую точность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выполнения геодезических измерений и кадастровых работ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ind w:left="0" w:right="0" w:firstLine="708"/>
        <w:jc w:val="both"/>
        <w:spacing w:before="0" w:after="306" w:afterAutospacing="0" w:line="288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Пункты ГГС, ГНС и ГГрС являются федеральной собственностью, и их сохранность и целостность охраняется законом.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306" w:afterAutospacing="0" w:line="288" w:lineRule="auto"/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ж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ч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</w:t>
      </w:r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  <w:highlight w:val="none"/>
        </w:rPr>
        <w:t xml:space="preserve">ли геодезические пункты расположены на вашем земельном участке, здании или сооружении, то </w:t>
      </w:r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  <w:highlight w:val="none"/>
        </w:rPr>
        <w:t xml:space="preserve">о</w:t>
      </w:r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  <w:highlight w:val="white"/>
        </w:rPr>
        <w:t xml:space="preserve">бязанность по их сохран</w:t>
      </w:r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  <w:highlight w:val="white"/>
        </w:rPr>
        <w:t xml:space="preserve">ению возложена на собственника</w:t>
      </w:r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pacing w:val="2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Собственники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земельных участков, на которых находятся пункты ГГС, ГНС и ГГрС также об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язаны уведомить Управление Росре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естра по Приморскому краю и обо всех случаях повреждения или уничтожения указанных пунктов в течении 15 календарных дней, а также предоставлять возможность подъезда  (подхода)  к вышеупомянутым пунктам при выполнении геодезических и картографических работ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сли собственник или пользователь объекта недвижимости не уведомит о повреждении или о сносе пункта, а также откажется предоставить возможности подъезда (подхода) к этим пунктам, ему будет вынесено предупреждение или наложен административный штраф в размере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от 1 до 5 тысяч рублей.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/>
      <w:r/>
    </w:p>
    <w:p>
      <w:pPr>
        <w:ind w:left="0" w:right="0" w:firstLine="720"/>
        <w:jc w:val="both"/>
        <w:spacing w:before="0" w:after="0" w:line="288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  <w:r/>
    </w:p>
    <w:p>
      <w:pPr>
        <w:ind w:left="0" w:right="0" w:firstLine="720"/>
        <w:jc w:val="both"/>
        <w:spacing w:before="0" w:after="0" w:line="288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юбое уничтожение, повреждение или снос пунктов государственных геодезических сетей влечет наложение административного штрафа. Для граждан штраф составит от 5 до 10 тысяч рублей, для должностных лиц – от 10 до 50 тысяч рублей, для юридических лиц – от 50 до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200 тысяч рублей.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yellow"/>
        </w:rPr>
      </w:r>
    </w:p>
    <w:p>
      <w:pPr>
        <w:ind w:left="0" w:right="0" w:firstLine="720"/>
        <w:jc w:val="both"/>
        <w:spacing w:before="0" w:after="0" w:line="288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/>
      <w:r/>
    </w:p>
    <w:p>
      <w:pPr>
        <w:ind w:left="0" w:right="0" w:firstLine="720"/>
        <w:jc w:val="both"/>
        <w:spacing w:before="0" w:after="0" w:line="288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иновное лицо также должно восстановить геодезический пункт.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88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/>
      <w:r/>
    </w:p>
    <w:p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Для справки: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261" w:afterAutospacing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white"/>
        </w:rPr>
        <w:t xml:space="preserve">Пункты государственной геодезической сети (ГГС)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 — это инженерные сооружения, закрепляющие точки земной поверхности с определёнными координатами. Они расположены по всей территории нашей страны и закреплены на местности специальными центрами</w:t>
      </w:r>
      <w:r>
        <w:rPr>
          <w:rFonts w:ascii="Times New Roman" w:hAnsi="Times New Roman" w:eastAsia="Times New Roman" w:cs="Times New Roman"/>
          <w:color w:val="000000" w:themeColor="text1"/>
          <w:sz w:val="24"/>
          <w:highlight w:val="whit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</w:rPr>
        <w:t xml:space="preserve">Пункты государственной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</w:rPr>
        <w:t xml:space="preserve">нивелирной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</w:rPr>
        <w:t xml:space="preserve"> сети (ГНС) -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представляют собой инженерную конструкцию долговременного закрепления, закрепляющую точку земной поверхности с определёнными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высотами в государственной системе высот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highlight w:val="white"/>
        </w:rPr>
        <w:t xml:space="preserve">Пункты государственной гравиметрической сети (ГГрС)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создаются и используются в целях распространения гравиметрической системы на территорию Российской Федерации.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360" w:lineRule="auto"/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pPr>
      <w:r>
        <w:rPr>
          <w:rFonts w:ascii="Segoe UI" w:hAnsi="Segoe UI" w:eastAsia="Arial Unicode MS" w:cs="Segoe UI"/>
          <w:b/>
          <w:color w:val="0070c0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3139</wp:posOffset>
                </wp:positionV>
                <wp:extent cx="6000750" cy="0"/>
                <wp:effectExtent l="0" t="0" r="19050" b="19050"/>
                <wp:wrapNone/>
                <wp:docPr id="2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9264;o:allowoverlap:true;o:allowincell:true;mso-position-horizontal-relative:margin;mso-position-horizontal:left;mso-position-vertical-relative:text;margin-top:0.2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  <w:t xml:space="preserve">О Росреестре</w:t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  <w:r>
        <w:rPr>
          <w:rFonts w:ascii="Segoe UI" w:hAnsi="Segoe UI" w:eastAsia="Arial Unicode MS" w:cs="Segoe UI"/>
          <w:b/>
          <w:sz w:val="24"/>
          <w:szCs w:val="24"/>
          <w:lang w:eastAsia="sk-SK" w:bidi="hi-IN"/>
        </w:rPr>
      </w:r>
    </w:p>
    <w:p>
      <w:pPr>
        <w:jc w:val="both"/>
        <w:spacing w:before="240" w:after="240" w:line="240" w:lineRule="auto"/>
        <w:widowControl w:val="off"/>
        <w:rPr>
          <w:rFonts w:ascii="Segoe UI" w:hAnsi="Segoe UI" w:eastAsia="Arial Unicode MS" w:cs="Segoe UI"/>
          <w:sz w:val="18"/>
          <w:szCs w:val="18"/>
          <w:lang w:eastAsia="hi-IN" w:bidi="hi-IN"/>
        </w:rPr>
      </w:pP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ППК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 «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Роскадастр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  <w:t xml:space="preserve">» и ФГБУ «Центр геодезии, картографии и ИПД». </w:t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  <w:r>
        <w:rPr>
          <w:rFonts w:ascii="Segoe UI" w:hAnsi="Segoe UI" w:eastAsia="Arial Unicode MS" w:cs="Segoe UI"/>
          <w:sz w:val="18"/>
          <w:szCs w:val="18"/>
          <w:lang w:eastAsia="hi-IN" w:bidi="hi-IN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hint="default" w:ascii="Symbol" w:hAnsi="Symbol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hint="default" w:ascii="Symbol" w:hAnsi="Symbol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hint="default" w:ascii="Symbol" w:hAnsi="Symbol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hint="default" w:ascii="Symbol" w:hAnsi="Symbol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52"/>
    <w:link w:val="851"/>
    <w:uiPriority w:val="9"/>
    <w:rPr>
      <w:rFonts w:ascii="Arial" w:hAnsi="Arial" w:eastAsia="Arial" w:cs="Arial"/>
      <w:sz w:val="40"/>
      <w:szCs w:val="40"/>
    </w:rPr>
  </w:style>
  <w:style w:type="paragraph" w:styleId="677">
    <w:name w:val="Heading 2"/>
    <w:basedOn w:val="850"/>
    <w:next w:val="850"/>
    <w:link w:val="67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8">
    <w:name w:val="Heading 2 Char"/>
    <w:basedOn w:val="852"/>
    <w:link w:val="677"/>
    <w:uiPriority w:val="9"/>
    <w:rPr>
      <w:rFonts w:ascii="Arial" w:hAnsi="Arial" w:eastAsia="Arial" w:cs="Arial"/>
      <w:sz w:val="34"/>
    </w:rPr>
  </w:style>
  <w:style w:type="paragraph" w:styleId="679">
    <w:name w:val="Heading 3"/>
    <w:basedOn w:val="850"/>
    <w:next w:val="850"/>
    <w:link w:val="68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0">
    <w:name w:val="Heading 3 Char"/>
    <w:basedOn w:val="852"/>
    <w:link w:val="679"/>
    <w:uiPriority w:val="9"/>
    <w:rPr>
      <w:rFonts w:ascii="Arial" w:hAnsi="Arial" w:eastAsia="Arial" w:cs="Arial"/>
      <w:sz w:val="30"/>
      <w:szCs w:val="30"/>
    </w:rPr>
  </w:style>
  <w:style w:type="paragraph" w:styleId="681">
    <w:name w:val="Heading 4"/>
    <w:basedOn w:val="850"/>
    <w:next w:val="850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2">
    <w:name w:val="Heading 4 Char"/>
    <w:basedOn w:val="852"/>
    <w:link w:val="681"/>
    <w:uiPriority w:val="9"/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850"/>
    <w:next w:val="850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4">
    <w:name w:val="Heading 5 Char"/>
    <w:basedOn w:val="852"/>
    <w:link w:val="683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50"/>
    <w:next w:val="850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52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50"/>
    <w:next w:val="850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52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50"/>
    <w:next w:val="850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52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50"/>
    <w:next w:val="850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5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paragraph" w:styleId="693">
    <w:name w:val="Title"/>
    <w:basedOn w:val="850"/>
    <w:next w:val="850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52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2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>
    <w:name w:val="Header Char"/>
    <w:basedOn w:val="852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>
    <w:name w:val="Footer Char"/>
    <w:basedOn w:val="852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2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2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0"/>
    <w:next w:val="850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0"/>
    <w:next w:val="850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0"/>
    <w:next w:val="850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0"/>
    <w:next w:val="850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0"/>
    <w:next w:val="850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0"/>
    <w:next w:val="850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0"/>
    <w:next w:val="850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0"/>
    <w:next w:val="850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851">
    <w:name w:val="Heading 1"/>
    <w:basedOn w:val="850"/>
    <w:next w:val="850"/>
    <w:link w:val="858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paragraph" w:styleId="855">
    <w:name w:val="Balloon Text"/>
    <w:basedOn w:val="850"/>
    <w:link w:val="856"/>
    <w:uiPriority w:val="99"/>
    <w:semiHidden/>
    <w:unhideWhenUsed/>
    <w:pPr>
      <w:spacing w:after="0" w:line="240" w:lineRule="auto"/>
    </w:pPr>
    <w:rPr>
      <w:rFonts w:ascii="Segoe UI" w:hAnsi="Segoe UI" w:cs="Segoe UI" w:eastAsiaTheme="minorHAnsi"/>
      <w:sz w:val="18"/>
      <w:szCs w:val="18"/>
      <w:lang w:eastAsia="en-US"/>
    </w:rPr>
  </w:style>
  <w:style w:type="character" w:styleId="856" w:customStyle="1">
    <w:name w:val="Текст выноски Знак"/>
    <w:basedOn w:val="852"/>
    <w:link w:val="855"/>
    <w:uiPriority w:val="99"/>
    <w:semiHidden/>
    <w:rPr>
      <w:rFonts w:ascii="Segoe UI" w:hAnsi="Segoe UI" w:cs="Segoe UI"/>
      <w:sz w:val="18"/>
      <w:szCs w:val="18"/>
    </w:rPr>
  </w:style>
  <w:style w:type="paragraph" w:styleId="857">
    <w:name w:val="No Spacing"/>
    <w:uiPriority w:val="1"/>
    <w:qFormat/>
    <w:pPr>
      <w:spacing w:after="0" w:line="240" w:lineRule="auto"/>
    </w:pPr>
  </w:style>
  <w:style w:type="character" w:styleId="858" w:customStyle="1">
    <w:name w:val="Заголовок 1 Знак"/>
    <w:basedOn w:val="852"/>
    <w:link w:val="85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9">
    <w:name w:val="List Paragraph"/>
    <w:basedOn w:val="850"/>
    <w:uiPriority w:val="34"/>
    <w:qFormat/>
    <w:pPr>
      <w:contextualSpacing/>
      <w:ind w:left="720"/>
      <w:spacing w:after="160" w:line="256" w:lineRule="auto"/>
    </w:pPr>
    <w:rPr>
      <w:rFonts w:eastAsiaTheme="minorHAnsi"/>
      <w:lang w:eastAsia="en-US"/>
    </w:rPr>
  </w:style>
  <w:style w:type="character" w:styleId="860">
    <w:name w:val="Hyperlink"/>
    <w:basedOn w:val="852"/>
    <w:uiPriority w:val="99"/>
    <w:unhideWhenUsed/>
    <w:rPr>
      <w:color w:val="0563c1" w:themeColor="hyperlink"/>
      <w:u w:val="single"/>
    </w:rPr>
  </w:style>
  <w:style w:type="character" w:styleId="861">
    <w:name w:val="annotation reference"/>
    <w:basedOn w:val="852"/>
    <w:uiPriority w:val="99"/>
    <w:semiHidden/>
    <w:unhideWhenUsed/>
    <w:rPr>
      <w:sz w:val="16"/>
      <w:szCs w:val="16"/>
    </w:rPr>
  </w:style>
  <w:style w:type="paragraph" w:styleId="862">
    <w:name w:val="annotation text"/>
    <w:basedOn w:val="850"/>
    <w:link w:val="863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styleId="863" w:customStyle="1">
    <w:name w:val="Текст примечания Знак"/>
    <w:basedOn w:val="852"/>
    <w:link w:val="862"/>
    <w:uiPriority w:val="99"/>
    <w:semiHidden/>
    <w:rPr>
      <w:sz w:val="20"/>
      <w:szCs w:val="20"/>
    </w:rPr>
  </w:style>
  <w:style w:type="paragraph" w:styleId="864">
    <w:name w:val="annotation subject"/>
    <w:basedOn w:val="862"/>
    <w:next w:val="862"/>
    <w:link w:val="865"/>
    <w:uiPriority w:val="99"/>
    <w:semiHidden/>
    <w:unhideWhenUsed/>
    <w:rPr>
      <w:b/>
      <w:bCs/>
    </w:rPr>
  </w:style>
  <w:style w:type="character" w:styleId="865" w:customStyle="1">
    <w:name w:val="Тема примечания Знак"/>
    <w:basedOn w:val="863"/>
    <w:link w:val="864"/>
    <w:uiPriority w:val="99"/>
    <w:semiHidden/>
    <w:rPr>
      <w:b/>
      <w:bCs/>
      <w:sz w:val="20"/>
      <w:szCs w:val="20"/>
    </w:rPr>
  </w:style>
  <w:style w:type="character" w:styleId="866">
    <w:name w:val="FollowedHyperlink"/>
    <w:basedOn w:val="852"/>
    <w:uiPriority w:val="99"/>
    <w:semiHidden/>
    <w:unhideWhenUsed/>
    <w:rPr>
      <w:color w:val="954f72" w:themeColor="followedHyperlink"/>
      <w:u w:val="single"/>
    </w:rPr>
  </w:style>
  <w:style w:type="paragraph" w:styleId="867">
    <w:name w:val="Normal (Web)"/>
    <w:basedOn w:val="85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89</cp:revision>
  <dcterms:created xsi:type="dcterms:W3CDTF">2023-08-16T23:21:00Z</dcterms:created>
  <dcterms:modified xsi:type="dcterms:W3CDTF">2025-03-27T00:39:18Z</dcterms:modified>
</cp:coreProperties>
</file>