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Приморский Росреестр продолжает обследование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пунктов ГГС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20"/>
        <w:jc w:val="both"/>
        <w:spacing w:before="0" w:beforeAutospacing="1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Инспекторы государственного земельного надзора, геодезии и картографии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Приморского Росреестра еженедельно выезжают на обследование пунктов государственной геодезической сети (ГГС), некоторые из них находятся в труднодоступных местах.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1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оскольку пункты размещены по всему Приморскому краю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лесах, полях, горах и иных возвышенностях для их обследования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еобходимо преодолевать большие расстояния.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Снаряженные спутниковым геодезическим оборудованием, фотоаппаратом для фотофиксации и лопатой для поиска затянутых грунтом пунктов, специалисты уезжают рано утром 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озвращаются уже под вечер. Предугадать погодные условия не всегда представляется возможным.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120" w:line="276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В 2025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инспекторы Приморского Росреестра проводят работы с опережением плана и уже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обследовали 20 пунктов ГГС и 23 пункта ГНС.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120" w:line="276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В 2024 году </w:t>
      </w:r>
      <w:r>
        <w:rPr>
          <w:rFonts w:ascii="Times New Roman" w:hAnsi="Times New Roman"/>
          <w:sz w:val="28"/>
          <w:szCs w:val="28"/>
          <w:highlight w:val="none"/>
        </w:rPr>
        <w:t xml:space="preserve">было обследовано 207 пунктов: из них 102 пункта ГГС (запланировано 98), 101 пункт ГНС (запланировано 95), 4 пункта ГГрС (запланировано 3). К сожалению, по 15 геодезическим пунктам выявлены факты уничтожения их центра, так называемой «марки»,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 7 пунктов центр был поврежден, а 79 пунктов ГГС оказались без наружного знака.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120" w:line="276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Работа не простая, но очень важная. Одно можно сказать 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чно 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сохранность пунктов ГГС повышает эффективность геодезических и картографических работ, которые проводятся для обеспечения общегосударственных, оборонных, научно-исследовательских задач, при инженерных изысканиях, строительстве и эксплуатаци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зданий, сооружений, дорог,  инженерных коммуникаций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 – говорит Татьяна Климова, начальник отдела государственного земельного надзора, геодезии и картографии.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12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Напоминаем, что геодезические пункты являются носителями  координат и высот на территории РФ. Их сохранность крайне важна, так как от состояния пунктов зависит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качество выполненных геодезических измерений и кадастровых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Если пункты ГГС находятся далеко друг от друга, повреж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дены или разрушены - это приводит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снижению точности геодезических измерений 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появлению реестровых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88</cp:revision>
  <dcterms:created xsi:type="dcterms:W3CDTF">2023-08-16T23:21:00Z</dcterms:created>
  <dcterms:modified xsi:type="dcterms:W3CDTF">2025-03-21T04:55:40Z</dcterms:modified>
</cp:coreProperties>
</file>