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7"/>
      </w:pPr>
      <w:r/>
      <w:r/>
    </w:p>
    <w:p>
      <w:pPr>
        <w:pStyle w:val="8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01.08.2025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1170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Как защитить свою недвижимость от мошенников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?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Сегодня наблюдается рост мошеннических действий, в том числе с объектами  недвижимости. Мы подготовили рекомендации и разъяснения, как гражданам и юридическим лицам защитить свою собственность.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Виды мошеннический действий: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</w:t>
        <w:tab/>
        <w:t xml:space="preserve">Телефонное мошенничество. Гражданам поступают звонки от неизвестных лиц, которые сообщают о том, что мошенники хотят завладеть их недвижимостью. Как правило, звонящие представляются сотрудниками правоохранительных органов или Росреестра и предлагают помо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щь в поимке аферистов, уговаривая подписать документы, сообщить персональные данные, зачислить деньги на безопасный счет и т.д.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Следует помнить, что сотрудники Росреестра никогда не звонят собственникам с угрозам мошенничества или просьбами сообщить свои персональные данные.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Самый простой способ защитить недвижимость – подать заявление о запрете регистрации сделок без вашего личного участия.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Это можно сделать: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в личном кабинете на сайте Росреестра,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на Портале госуслуг;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в многофункциональном центре предоставления государственных или муниципальных услуг.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После подачи такого заявления в Единый государственный реестр недвижимости (ЕГРН) будет внесена соответствующая запись. И если в Росреестр поступят документы без личного участия собственника (например, по доверенности), они рассматриваться не будут, их оста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вят без рассмотрения. Однако, такой запрет не действует, если регистрация проходит по решению суда или по требованию судебного пристава.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 Использование поддельных документов. Например, доверенности, документы о праве собственности на недвижимость, паспорта и т.д. Гражданин может купить квартиру у мошенников, предоставивших поддельные документы, и остаться как без недвижимости, так и без де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нег.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Будьте внимательны: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–</w:t>
        <w:tab/>
        <w:t xml:space="preserve">Заказывайте выписки из ЕГРН только с помощью официального сайта Росреестра или Портала Госуслуг.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–</w:t>
        <w:tab/>
        <w:t xml:space="preserve">Внимательно изучите правоустанавливающие документы, т.е. документы, на основании которых у владельца возникло право собственности на объект недвижимости (например, договор приватизации, купли-продажи, дарения, участия в долевом строительстве)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–</w:t>
        <w:tab/>
        <w:t xml:space="preserve">Не сообщайте никому в телефонном разговоре свои паспортные и иные личные данные, а также содержание СМС-сообщений, поступающих с Портала госуслуг и банковских учреждений.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–</w:t>
        <w:tab/>
        <w:t xml:space="preserve">Меняйте пароль к своему аккаунту на Госуслугах не реже,чем один раз в три месяца. Не переходите по ссылкам, отправленным в сообщениях от незнакомцев. Они могут вести на фишинговые сайты, где ваши персональные данные могут быть украдены.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Берегите себя и помните, что безопасность недвижимости в ваших руках.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2"/>
    <w:link w:val="851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0"/>
    <w:next w:val="850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2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2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2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2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2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2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2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2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2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2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2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2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2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1">
    <w:name w:val="Heading 1"/>
    <w:basedOn w:val="850"/>
    <w:next w:val="850"/>
    <w:link w:val="858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Balloon Text"/>
    <w:basedOn w:val="850"/>
    <w:link w:val="856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6" w:customStyle="1">
    <w:name w:val="Текст выноски Знак"/>
    <w:basedOn w:val="852"/>
    <w:link w:val="855"/>
    <w:uiPriority w:val="99"/>
    <w:semiHidden/>
    <w:rPr>
      <w:rFonts w:ascii="Segoe UI" w:hAnsi="Segoe UI" w:cs="Segoe UI"/>
      <w:sz w:val="18"/>
      <w:szCs w:val="18"/>
    </w:rPr>
  </w:style>
  <w:style w:type="paragraph" w:styleId="857">
    <w:name w:val="No Spacing"/>
    <w:uiPriority w:val="1"/>
    <w:qFormat/>
    <w:pPr>
      <w:spacing w:after="0" w:line="240" w:lineRule="auto"/>
    </w:pPr>
  </w:style>
  <w:style w:type="character" w:styleId="858" w:customStyle="1">
    <w:name w:val="Заголовок 1 Знак"/>
    <w:basedOn w:val="852"/>
    <w:link w:val="85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9">
    <w:name w:val="List Paragraph"/>
    <w:basedOn w:val="850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0">
    <w:name w:val="Hyperlink"/>
    <w:basedOn w:val="852"/>
    <w:uiPriority w:val="99"/>
    <w:unhideWhenUsed/>
    <w:rPr>
      <w:color w:val="0563c1" w:themeColor="hyperlink"/>
      <w:u w:val="single"/>
    </w:rPr>
  </w:style>
  <w:style w:type="character" w:styleId="861">
    <w:name w:val="annotation reference"/>
    <w:basedOn w:val="852"/>
    <w:uiPriority w:val="99"/>
    <w:semiHidden/>
    <w:unhideWhenUsed/>
    <w:rPr>
      <w:sz w:val="16"/>
      <w:szCs w:val="16"/>
    </w:rPr>
  </w:style>
  <w:style w:type="paragraph" w:styleId="862">
    <w:name w:val="annotation text"/>
    <w:basedOn w:val="850"/>
    <w:link w:val="863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3" w:customStyle="1">
    <w:name w:val="Текст примечания Знак"/>
    <w:basedOn w:val="852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b/>
      <w:bCs/>
      <w:sz w:val="20"/>
      <w:szCs w:val="20"/>
    </w:rPr>
  </w:style>
  <w:style w:type="character" w:styleId="866">
    <w:name w:val="FollowedHyperlink"/>
    <w:basedOn w:val="852"/>
    <w:uiPriority w:val="99"/>
    <w:semiHidden/>
    <w:unhideWhenUsed/>
    <w:rPr>
      <w:color w:val="954f72" w:themeColor="followedHyperlink"/>
      <w:u w:val="single"/>
    </w:rPr>
  </w:style>
  <w:style w:type="paragraph" w:styleId="867">
    <w:name w:val="Normal (Web)"/>
    <w:basedOn w:val="85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87</cp:revision>
  <dcterms:created xsi:type="dcterms:W3CDTF">2023-08-16T23:21:00Z</dcterms:created>
  <dcterms:modified xsi:type="dcterms:W3CDTF">2025-08-01T04:20:13Z</dcterms:modified>
</cp:coreProperties>
</file>