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84211" cy="72920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45546" cy="751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24pt;height:57.4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  <w:r/>
    </w:p>
    <w:p>
      <w:pPr>
        <w:pStyle w:val="867"/>
      </w:pPr>
      <w:r/>
      <w:r/>
    </w:p>
    <w:p>
      <w:pPr>
        <w:pStyle w:val="86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26.12.2025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Пресс-служба Управления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Росреестра по Приморскому краю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+7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(423)</w:t>
      </w:r>
      <w:r>
        <w:rPr>
          <w:rFonts w:ascii="Times New Roman" w:hAnsi="Times New Roman" w:eastAsia="Calibri" w:cs="Times New Roman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245-49-23, доб. 1088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25press_rosreestr@mail.ru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690091, Владивосток, ул. 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Посьетская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48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В Приморском Росреестре состоялась онлайн пресс-конференция </w:t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jc w:val="both"/>
        <w:spacing w:before="0" w:beforeAutospacing="0" w:after="0" w:afterAutospacing="0"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площадке Интернет-ресурса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Управления Росреестра по Приморскому краю  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Санин Евгений и и.о. заместителя руководителя Управления Росреестра по Приморскому краю  Мезенин Артем ответили онлайн на 11 поступивших вопросов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в сфере земли и недвижимости, в частности о регистрации ранее возникших прав (Закон № 518-ФЗ), а также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о новых видах мошенничества с недвижимостью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</w:pPr>
      <w:r>
        <w:rPr>
          <w:rFonts w:ascii="Nimbus Roman" w:hAnsi="Nimbus Roman" w:cs="Nimbus Roman"/>
          <w:sz w:val="28"/>
          <w:szCs w:val="28"/>
          <w:highlight w:val="none"/>
        </w:rPr>
      </w:r>
      <w:r>
        <w:rPr>
          <w:rFonts w:ascii="Nimbus Roman" w:hAnsi="Nimbus Roman" w:cs="Nimbus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Публикуем ответы на некоторые из поступивших вопросов.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Вопросы от Елены Ф.: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869"/>
        <w:numPr>
          <w:ilvl w:val="0"/>
          <w:numId w:val="19"/>
        </w:numPr>
        <w:ind w:left="425" w:right="0" w:hanging="425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Кроме «схемы Долиной» какие виды мошенничества при сделках купли/продажи жилья появились в последнее время?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right="0" w:firstLine="425"/>
        <w:jc w:val="both"/>
        <w:spacing w:before="0" w:beforeAutospacing="0" w:after="0" w:afterAutospacing="0" w:line="30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силу характера выполняемых задач Федеральная служба государственной регистрации, кадастра и картографии не является органом, систематизирующим сведения о совершаемых противоправных действиях в сфере сделок по купле-продаже недвиж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имого имущества, соответствующими функциями обладают правоохранительные органы.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с тем, можно обратить внимание на ряд рискообразующих факторов при наличии которых стоит быть предельно внимательными при совершении сделок: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Во-первых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это, безусловно,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продажа недвижимости по доверенности. Для совершения сделок с недвижимостью доверенность должна быть нотариальной, при этом все доверенности необходимо в обязательном порядке проверять на сайте notariat.ru, в том числе на предмет их отмены, до заключения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делки.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Во-вторых,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мы рекомендуем обратиться в нашу службу с заявлением о внесении записи о невозможности совершения сделок с недвижимым имуществом без вашего личного участия, наличие этой записи позволит наложить запрет на распоряжение вашим имуществом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доверенности иными лицами, поскольку случаи выдачи доверенностей на иных лиц без реального волеизъявления на продажу имущества могут также являться следствием психологического воздействия мошенников на продавца.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третьих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если вы в силу своего возраста,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огнитивных или иных особенностей свободно не ориентируетесь в «цифровом мире» не подавайте в Росреестр заявление о возможности регистрации сделок с вашим имуществом в электронном виде, по умолчанию и без вашего разрешения такую сделку не пропустят.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очередь, покупателю недвижимости стоит убедиться, что документы на сделку в электронном виде представляются именно собственником недвижимости, а не лицом завладевшим его электронно-цифровой подписью.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И, напоследок,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универсальное правило – сделка не должна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совершаться в условиях спешки.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Любые действия продавца, направленные на ускорение процессов заключения и регистрации договора, психологическое давление на вас с целью форсирования событий, могут являться следствием того, что продавец пытается избавиться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имущества в силу обстоятельств известных в настоящий момент только ему, например возможность потенциального спора по имуществу между наследниками, наличие уголовного или гражданского дела, в рамках которых высока вероятность наложения ареста на имущество.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В России хотят запретить покупку недвижимости за наличные. Каким будет влияние такой меры на распространение мошенничества на рынке жилья?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Динамично развивающийся современный мир подталкивает людей к переходу в цифровое пространство и, доля безналичных платежей во всех сферах жизнедеятельности растет с каждым днем. Изменение подхода к платежам при сделках с недвижимостью требует системного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изменения законодательства, в том числе изменения Гражданского кодекса РФ, который в настоящий момент предусматривает вариативность осуществления расчетов между контрагентами.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hd w:val="clear" w:color="ffffff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Как таковая идея перехода исключительно на безналичные платежи при сделках с недв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ижимостью имеет позитивный потенциал и создает более открытые условия сопровождения операций. В частности, совершение безналичного платежа легко подтвердить при возникновении соответствующей необходимости. Однако, такое изменение порядка финансовых операций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не является панацеей от совершаемых актов мошенничества, важно использовать все имеющиеся законные механизмы проверки стороны по сделке.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425"/>
        <w:jc w:val="both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Представляется, что полный отказ от наличных расчетов должен происходить эволюционным путем и максимально безболезненно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для всех категорий лиц, включая людей старшего поколения.</w:t>
      </w:r>
      <w:r/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Вопросы корреспондентов регионального СМИ: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Какие меры предосторожности рекомендуется принимать при работе с документами и данными, связанными с недвижимостью, чтобы избежать мошенничества?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Для защиты добросовестных покупателей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перед сделкой рекомендуем: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Запросить у продавца выписку из ЕГРН:</w:t>
        <w:br/>
        <w:t xml:space="preserve">- Проверьте наличие обременений (арестов, ограничений).</w:t>
        <w:br/>
        <w:t xml:space="preserve">- Оцените частоту смены собственников: частые переходы прав вызывают подозрения.</w:t>
        <w:br/>
        <w:t xml:space="preserve">- Определите количество правообладателей: если их несколько, участие каждого обязате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Проверить достоверность выписки из ЕГРН можно на официальном сайте Росреестра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rosreestr.gov.ru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Для этого потребуется указанный на выписке QR-код.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Изучить личность продавца: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  <w:t xml:space="preserve"> -Поговорите с родственниками и соседями продавца.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-Проверить на сайте Единого федерального реестра сведений о банкротстве (ЕФРСБ), нет ли процедуры банкротства в отношении продавца, а также проверить собственника на сайте Федеральной службы судебных приставов (ФССП) на наличие долгов.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Как гражданину оформить право собственности на ранее учтенную бесхозяйную квартиру, в которой он проживает?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квартира бесхозяйная, то она находится в муниципальной собственности. Необходимо обратиться в местную администрацию для заключения договора найма, для последующего заключения договора приватизации квартиры.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Как поступить, если при выявлении правообладателя возникли противоречия в сведениях из разных источников?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ч. 6 ст.69.1 Федерального закона от 13.07.2015 № 218-ФЗ «О государственной регистрации недвижимости» (далее – Закон о регистрации) после проведения мероприятий, предусмотренных частями 1 - 4 настоящей статьи, уполномоченны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органы подготавливают проект решения о выявлении правообладателя ранее учтенного объекта недвижимости и согласно ч. 7- этой статьи проект решения о выявлении правообладателя ранее учтенного объекта недвижимости не подготавливается в случае, если ответы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запросы, указанные в части 4 настоящей статьи, содержат противоречивую информацию о правообладателе ранее учтенного объекта недвижимости либо если ранее учтенным объектом недвижимости является здание, сооружение или объект незавершенного строительства, прек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ратившие свое существование.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случае, если в уполномоченный орган поступили возражения относительно сведений о правообладателе ранее учтенного объекта недвижимости, указанных в проекте решения, 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  <w:t xml:space="preserve">решение о выявлении не принимается и в течение одного года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 дня поступления возражений 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олномоченный орган заявляет в суд требование о внесении в ЕГРН соответствующей записи о выявленном правообладателе ранее учтенного объекта недвижимости.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Какие действия следует предпринять, если выявить правообладателя ранее учтённого объекта не удалось?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случае, если по результатам проведения мероприятий по выявлению правообладателя объекта недвижимости правообладатель не выявлен, возникают основания для приобретения права государственной или муниципальной собственности на такой объект на основании пол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ожений Гражданского кодекса РФ (ст.225 Безхозяйные вещи, ст.1151 Наследование выморочного имущества). Перечень необходимых документов установлен ч.20 ст.69.1 218-ФЗ о регистрации, а именно уполномоченный орган представляет заявление о постановке такого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кта недвижимости на учет в качестве бесхозяйного объекта недвижимости и решение о выявлении бесхозяйного здания, сооружения, помещения, машино-места или объекта незавершенного строительства.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/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br/>
      </w:r>
      <w:r>
        <w:rPr>
          <w:rFonts w:ascii="Segoe UI" w:hAnsi="Segoe UI" w:eastAsia="Arial Unicode MS" w:cs="Segoe UI"/>
          <w:b/>
          <w:color w:val="0070c0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7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3139</wp:posOffset>
                </wp:positionV>
                <wp:extent cx="6000750" cy="0"/>
                <wp:effectExtent l="0" t="0" r="19050" b="1905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2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 Unicode MS" w:cs="Segoe UI"/>
          <w:b/>
          <w:sz w:val="24"/>
          <w:szCs w:val="24"/>
          <w:lang w:eastAsia="sk-SK" w:bidi="hi-IN"/>
        </w:rPr>
        <w:t xml:space="preserve">О Росреестре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before="240" w:after="240" w:line="240" w:lineRule="auto"/>
        <w:widowControl w:val="off"/>
        <w:rPr>
          <w:rFonts w:ascii="Segoe UI" w:hAnsi="Segoe UI" w:eastAsia="Arial Unicode MS" w:cs="Segoe UI"/>
          <w:sz w:val="18"/>
          <w:szCs w:val="18"/>
          <w:lang w:eastAsia="hi-IN" w:bidi="hi-IN"/>
        </w:rPr>
      </w:pP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Федеральная служба государственной регистрации, кадастра и картографии (Росреестр) являе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ППК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 «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Роскадастр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  <w:t xml:space="preserve">» и ФГБУ «Центр геодезии, картографии и ИПД». </w:t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  <w:r>
        <w:rPr>
          <w:rFonts w:ascii="Segoe UI" w:hAnsi="Segoe UI" w:eastAsia="Arial Unicode MS" w:cs="Segoe UI"/>
          <w:sz w:val="18"/>
          <w:szCs w:val="18"/>
          <w:lang w:eastAsia="hi-IN" w:bidi="hi-IN"/>
        </w:rPr>
      </w:r>
    </w:p>
    <w:sectPr>
      <w:footnotePr/>
      <w:endnotePr/>
      <w:type w:val="nextPage"/>
      <w:pgSz w:w="11906" w:h="16838" w:orient="portrait"/>
      <w:pgMar w:top="567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Nimbus Roman">
    <w:panose1 w:val="000005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2"/>
    <w:link w:val="861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0"/>
    <w:next w:val="860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0"/>
    <w:next w:val="8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0"/>
    <w:next w:val="860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0"/>
    <w:next w:val="860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0"/>
    <w:next w:val="86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0"/>
    <w:next w:val="860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60"/>
    <w:next w:val="860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2"/>
    <w:link w:val="703"/>
    <w:uiPriority w:val="10"/>
    <w:rPr>
      <w:sz w:val="48"/>
      <w:szCs w:val="48"/>
    </w:rPr>
  </w:style>
  <w:style w:type="paragraph" w:styleId="705">
    <w:name w:val="Subtitle"/>
    <w:basedOn w:val="860"/>
    <w:next w:val="860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2"/>
    <w:link w:val="705"/>
    <w:uiPriority w:val="11"/>
    <w:rPr>
      <w:sz w:val="24"/>
      <w:szCs w:val="24"/>
    </w:rPr>
  </w:style>
  <w:style w:type="paragraph" w:styleId="707">
    <w:name w:val="Quote"/>
    <w:basedOn w:val="860"/>
    <w:next w:val="860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0"/>
    <w:next w:val="860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0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basedOn w:val="862"/>
    <w:link w:val="711"/>
    <w:uiPriority w:val="99"/>
  </w:style>
  <w:style w:type="paragraph" w:styleId="713">
    <w:name w:val="Footer"/>
    <w:basedOn w:val="860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basedOn w:val="862"/>
    <w:link w:val="713"/>
    <w:uiPriority w:val="99"/>
  </w:style>
  <w:style w:type="paragraph" w:styleId="715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861">
    <w:name w:val="Heading 1"/>
    <w:basedOn w:val="860"/>
    <w:next w:val="860"/>
    <w:link w:val="868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0"/>
    <w:link w:val="866"/>
    <w:uiPriority w:val="99"/>
    <w:semiHidden/>
    <w:unhideWhenUsed/>
    <w:pPr>
      <w:spacing w:after="0" w:line="240" w:lineRule="auto"/>
    </w:pPr>
    <w:rPr>
      <w:rFonts w:ascii="Segoe UI" w:hAnsi="Segoe UI" w:cs="Segoe UI" w:eastAsiaTheme="minorHAnsi"/>
      <w:sz w:val="18"/>
      <w:szCs w:val="18"/>
      <w:lang w:eastAsia="en-US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>
    <w:name w:val="No Spacing"/>
    <w:uiPriority w:val="1"/>
    <w:qFormat/>
    <w:pPr>
      <w:spacing w:after="0" w:line="240" w:lineRule="auto"/>
    </w:pPr>
  </w:style>
  <w:style w:type="character" w:styleId="868" w:customStyle="1">
    <w:name w:val="Заголовок 1 Знак"/>
    <w:basedOn w:val="862"/>
    <w:link w:val="86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9">
    <w:name w:val="List Paragraph"/>
    <w:basedOn w:val="860"/>
    <w:uiPriority w:val="34"/>
    <w:qFormat/>
    <w:pPr>
      <w:contextualSpacing/>
      <w:ind w:left="720"/>
      <w:spacing w:after="160" w:line="256" w:lineRule="auto"/>
    </w:pPr>
    <w:rPr>
      <w:rFonts w:eastAsiaTheme="minorHAnsi"/>
      <w:lang w:eastAsia="en-US"/>
    </w:rPr>
  </w:style>
  <w:style w:type="character" w:styleId="870">
    <w:name w:val="Hyperlink"/>
    <w:basedOn w:val="862"/>
    <w:uiPriority w:val="99"/>
    <w:unhideWhenUsed/>
    <w:rPr>
      <w:color w:val="0563c1" w:themeColor="hyperlink"/>
      <w:u w:val="single"/>
    </w:rPr>
  </w:style>
  <w:style w:type="character" w:styleId="871">
    <w:name w:val="annotation reference"/>
    <w:basedOn w:val="862"/>
    <w:uiPriority w:val="99"/>
    <w:semiHidden/>
    <w:unhideWhenUsed/>
    <w:rPr>
      <w:sz w:val="16"/>
      <w:szCs w:val="16"/>
    </w:rPr>
  </w:style>
  <w:style w:type="paragraph" w:styleId="872">
    <w:name w:val="annotation text"/>
    <w:basedOn w:val="860"/>
    <w:link w:val="873"/>
    <w:uiPriority w:val="99"/>
    <w:semiHidden/>
    <w:unhideWhenUsed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styleId="873" w:customStyle="1">
    <w:name w:val="Текст примечания Знак"/>
    <w:basedOn w:val="862"/>
    <w:link w:val="872"/>
    <w:uiPriority w:val="99"/>
    <w:semiHidden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FollowedHyperlink"/>
    <w:basedOn w:val="862"/>
    <w:uiPriority w:val="99"/>
    <w:semiHidden/>
    <w:unhideWhenUsed/>
    <w:rPr>
      <w:color w:val="954f72" w:themeColor="followedHyperlink"/>
      <w:u w:val="single"/>
    </w:rPr>
  </w:style>
  <w:style w:type="paragraph" w:styleId="877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128</cp:revision>
  <dcterms:created xsi:type="dcterms:W3CDTF">2023-08-16T23:21:00Z</dcterms:created>
  <dcterms:modified xsi:type="dcterms:W3CDTF">2025-12-26T04:52:50Z</dcterms:modified>
</cp:coreProperties>
</file>