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17.12.2025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300" w:lineRule="exact"/>
        <w:rPr>
          <w:rFonts w:ascii="Nimbus Roman" w:hAnsi="Nimbus Roman" w:eastAsia="Nimbus Roman" w:cs="Nimbus Roman"/>
          <w:b/>
          <w:bCs w:val="0"/>
          <w:i w:val="0"/>
          <w:sz w:val="36"/>
          <w:szCs w:val="36"/>
          <w:highlight w:val="non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Итоговое  заседание коллегии состоялось в Приморском </w:t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r>
    </w:p>
    <w:p>
      <w:pPr>
        <w:jc w:val="center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</w:p>
    <w:p>
      <w:pPr>
        <w:jc w:val="center"/>
        <w:spacing w:before="0" w:beforeAutospacing="0" w:after="0" w:afterAutospacing="0" w:line="300" w:lineRule="exact"/>
        <w:rPr>
          <w:rFonts w:ascii="Nimbus Roman" w:hAnsi="Nimbus Roman" w:eastAsia="Nimbus Roman" w:cs="Nimbus Roman"/>
          <w:b/>
          <w:bCs w:val="0"/>
          <w:i w:val="0"/>
          <w:sz w:val="36"/>
          <w:szCs w:val="36"/>
          <w:highlight w:val="non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Росреестре</w:t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r>
      <w:r/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Открыл коллегию руководитель Управления Росреестра по Приморскому краю Александр Корнев. Во вступительном слове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он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отметил положительные  результаты реал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изации в Приморском крае проекта «Полный и точный реестр» и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акцентировал внимание на рекордном объеме услуг, оказанных Управлением  в 2025 году: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общее количество заявлений на проведение учетно-регистрационных действий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 уже превысило 747 тысяч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, более 75 % из них поступило в электронном виде.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Об основных направлениях работы по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/>
          <w:sz w:val="28"/>
          <w:szCs w:val="28"/>
          <w:highlight w:val="none"/>
        </w:rPr>
        <w:t xml:space="preserve">указания Президента Российской Федерации от 16.09.2025 № Пр-2120 о повышении капитализации территорий доложили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 заместители руководителя Управления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ё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н,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Одно из условий </w:t>
      </w:r>
      <w:r>
        <w:rPr>
          <w:rFonts w:ascii="Nimbus Roman" w:hAnsi="Nimbus Roman" w:eastAsia="Nimbus Roman" w:cs="Nimbus Roman"/>
          <w:sz w:val="28"/>
          <w:szCs w:val="28"/>
        </w:rPr>
        <w:t xml:space="preserve">повышения капитализации территории - полный и точный реестр объектов недвижимости, общее количество которых в Приморье составляет </w:t>
      </w:r>
      <w:r>
        <w:rPr>
          <w:rFonts w:ascii="Nimbus Roman" w:hAnsi="Nimbus Roman" w:eastAsia="Nimbus Roman" w:cs="Nimbus Roman"/>
          <w:b/>
          <w:bCs/>
          <w:sz w:val="28"/>
          <w:szCs w:val="28"/>
        </w:rPr>
        <w:t xml:space="preserve">2 115 866 </w:t>
      </w:r>
      <w:r>
        <w:rPr>
          <w:rFonts w:ascii="Nimbus Roman" w:hAnsi="Nimbus Roman" w:eastAsia="Nimbus Roman" w:cs="Nimbus Roman"/>
          <w:sz w:val="28"/>
          <w:szCs w:val="28"/>
        </w:rPr>
        <w:t xml:space="preserve">с суммарной кадастровой стоимостью </w:t>
      </w:r>
      <w:r>
        <w:rPr>
          <w:rFonts w:ascii="Nimbus Roman" w:hAnsi="Nimbus Roman" w:eastAsia="Nimbus Roman" w:cs="Nimbus Roman"/>
          <w:sz w:val="28"/>
          <w:szCs w:val="28"/>
        </w:rPr>
        <w:t xml:space="preserve">16,788 трлн. руб.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В ходе выполнения в 2025 году проекта «Полный и точный реестр»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 Приморье: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r>
    </w:p>
    <w:p>
      <w:pPr>
        <w:pStyle w:val="869"/>
        <w:numPr>
          <w:ilvl w:val="0"/>
          <w:numId w:val="17"/>
        </w:numPr>
        <w:ind w:left="0" w:right="0" w:firstLine="916"/>
        <w:jc w:val="both"/>
        <w:spacing w:after="0" w:line="240" w:lineRule="auto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завершен анализ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перечня ранее учтенных объектов недвижи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мого 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, в отношении которых в ЕГРН отсутствуют сведения о правообладателях, в результате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зарегистрированы права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 отношении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181 606 объектов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253 618 объектов снято с учета,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сведения о  2 552 выявленных правообладателях внесены в ЕГРН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r>
    </w:p>
    <w:p>
      <w:pPr>
        <w:pStyle w:val="869"/>
        <w:numPr>
          <w:ilvl w:val="0"/>
          <w:numId w:val="18"/>
        </w:numPr>
        <w:ind w:left="0" w:right="0" w:firstLine="916"/>
        <w:jc w:val="both"/>
        <w:spacing w:after="0" w:line="240" w:lineRule="auto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успешно проведены комплексные кадастровые работы федерального и регионального значения, в результате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ъ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в.</w:t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Nimbus Roman" w:hAnsi="Nimbus Roman" w:eastAsia="Nimbus Roman" w:cs="Nimbus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yellow"/>
        </w:rPr>
      </w:pPr>
      <w:r>
        <w:rPr>
          <w:rFonts w:ascii="Nimbus Roman" w:hAnsi="Nimbus Roman" w:eastAsia="Nimbus Roman" w:cs="Nimbus Roman"/>
          <w:color w:val="000000"/>
          <w:sz w:val="28"/>
          <w:szCs w:val="28"/>
          <w:highlight w:val="none"/>
        </w:rPr>
        <w:t xml:space="preserve">Еще одно из условий повышения капитализации территории – выявление земель, пригодных для вовлечение в оборот, и Приморье является одним из 28 регионов, где р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еализуется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 проект  «Вовлечение объектов недвижимости в экономический оборо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white"/>
        </w:rPr>
        <w:t xml:space="preserve">т».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yellow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cs="Nimbus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i w:val="0"/>
          <w:iCs w:val="0"/>
          <w:color w:val="000000" w:themeColor="text1"/>
          <w:sz w:val="28"/>
          <w:szCs w:val="28"/>
          <w:highlight w:val="none"/>
        </w:rPr>
        <w:t xml:space="preserve">Из основных </w:t>
      </w:r>
      <w:r>
        <w:rPr>
          <w:rFonts w:ascii="Nimbus Roman" w:hAnsi="Nimbus Roman" w:eastAsia="Nimbus Roman" w:cs="Nimbus Roman"/>
          <w:i w:val="0"/>
          <w:iCs w:val="0"/>
          <w:color w:val="000000" w:themeColor="text1"/>
          <w:sz w:val="28"/>
          <w:szCs w:val="28"/>
        </w:rPr>
        <w:t xml:space="preserve">приоритетов на 2026 год выделены выявление земли и вовлечение ее в оборот, в том числе для жилищного строительства, проведение кадастровой оценки во ФГИС ЕЦП НСПД, завершение работ по выявлению правообладателей ранее учтенных объектов недвижимости.</w:t>
      </w:r>
      <w:r>
        <w:rPr>
          <w:rFonts w:ascii="Nimbus Roman" w:hAnsi="Nimbus Roman" w:cs="Nimbus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Nimbus Roman" w:hAnsi="Nimbus Roman" w:cs="Nimbus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cs="Nimbus Roman"/>
          <w:color w:val="000000" w:themeColor="text1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риморский Росреестр участвует в улучшении инвестиционной привлекательности региона, наполнении бюджета, и благодаря его проактивной позиции удалось достичь хороших результатов при реализации проектов, направленных на повышение капитализации региона», – отм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етил председатель Общественного совета при Управлении Росреестра по Приморскому краю, руководитель филиала в городе Владивостоке Группы компаний Б1 Алексей Ерохин.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Nimbus Roman" w:hAnsi="Nimbus Roman" w:cs="Nimbus Roman"/>
          <w:color w:val="000000" w:themeColor="text1"/>
          <w:sz w:val="28"/>
          <w:szCs w:val="28"/>
          <w:highlight w:val="none"/>
        </w:rPr>
      </w:r>
      <w:r>
        <w:rPr>
          <w:rFonts w:ascii="Nimbus Roman" w:hAnsi="Nimbus Roman" w:cs="Nimbus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color w:val="000000"/>
          <w:sz w:val="28"/>
          <w:szCs w:val="28"/>
          <w:highlight w:val="none"/>
        </w:rPr>
        <w:t xml:space="preserve">Клиентоцентричный подход в работе и профессионализм сотрудников Управления отметили заместитель главы города Владивостока </w:t>
      </w:r>
      <w:r>
        <w:rPr>
          <w:rFonts w:ascii="Nimbus Roman" w:hAnsi="Nimbus Roman" w:eastAsia="Nimbus Roman" w:cs="Nimbus Roman"/>
          <w:color w:val="000000"/>
          <w:sz w:val="28"/>
          <w:szCs w:val="28"/>
          <w:highlight w:val="none"/>
        </w:rPr>
        <w:t xml:space="preserve">Алексей Сухов, заместитель министра имущественных и земельных отношений Приморского края Олег Топчиенко и управляющий директор АО «КРДВ» Евгения Ромашко.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Nimbus Roman" w:hAnsi="Nimbus Roman" w:cs="Nimbus Roman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343b4c"/>
          <w:sz w:val="23"/>
          <w:highlight w:val="none"/>
        </w:rPr>
      </w:r>
      <w:r>
        <w:rPr>
          <w:rFonts w:ascii="Nimbus Roman" w:hAnsi="Nimbus Roman" w:cs="Nimbus Roman"/>
          <w:color w:val="000000" w:themeColor="text1"/>
          <w:sz w:val="28"/>
          <w:szCs w:val="28"/>
        </w:rPr>
      </w:r>
      <w:r>
        <w:rPr>
          <w:rFonts w:ascii="Nimbus Roman" w:hAnsi="Nimbus Roman" w:cs="Nimbus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276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276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127</cp:revision>
  <dcterms:created xsi:type="dcterms:W3CDTF">2023-08-16T23:21:00Z</dcterms:created>
  <dcterms:modified xsi:type="dcterms:W3CDTF">2025-12-17T05:50:43Z</dcterms:modified>
</cp:coreProperties>
</file>