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31.05.2024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25press_rosreestr@mail.ru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Зачем переоформлять документы на недвижимость после смены фамилии?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Сведения о смене фамилии, имени или отчества необходимо вносить в ЕГРН. Для чего это нужно и как это сделать?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Часто при смене фамилии, например при вступлении в </w:t>
      </w:r>
      <w:bookmarkStart w:id="0" w:name="_GoBack"/>
      <w:bookmarkEnd w:id="0"/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брак, граждане забывают внести соответствующие данные в Единый государственный реестр недвижимости (ЕГРН) или не придают этому факту значение.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 чему это приводит?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- у граждан на едином портале государственных услуг (ЕПГУ) не отображается информация о находящихся в их собственности объектах недвижимости;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- граждане не могут получить бесплатно </w:t>
      </w:r>
      <w:r>
        <w:rPr>
          <w:rFonts w:eastAsia="Calibri" w:cs="Times New Roman" w:ascii="Times New Roman" w:hAnsi="Times New Roman" w:eastAsiaTheme="minorHAnsi"/>
          <w:sz w:val="28"/>
          <w:szCs w:val="28"/>
          <w:lang w:val="en-US" w:eastAsia="en-US"/>
        </w:rPr>
        <w:t>online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-выписку из ЕГРН,  потому как в реестре недвижимость значится у гражданина с другой фамилией, именем или отчеством.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Напоминаем, что корректное воспроизведение информации об объектах недвижимости в личном кабинете ЕПГУ возможно при условии наличия в записях ЕГРН сведений о страховом номере индивидуального лицевого счета (далее – СНИЛС) правообладателя, а также ФИО и паспортных данных, совпадающих с данными пользователя ЕПГУ.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Таким образом, если у правообладателя произошла смена фамилии, имени, отчества или паспортных данных необходимо обратиться в ближайшее отделение МФЦ с заявлением о внесении изменений в сведения ЕГРН, представив соответствующий документ (например, свидетельство о браке).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Согласно п.27 ч.1 ст. 333.33 Налогового кодекса РФ за внесение изменений в записи ЕГРН физические лица уплачивают пошлину в размере 350 рублей.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0.25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sectPr>
      <w:type w:val="nextPage"/>
      <w:pgSz w:w="11906" w:h="16838"/>
      <w:pgMar w:left="1701" w:right="850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336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LibreOffice/6.4.4.2$Linux_X86_64 LibreOffice_project/40$Build-2</Application>
  <Pages>2</Pages>
  <Words>309</Words>
  <Characters>2206</Characters>
  <CharactersWithSpaces>2639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2023-08-16T23:21:00Z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2024-05-31T00:41:00Z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