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3A6857E" w:rsidR="00235EEF" w:rsidRDefault="00F94B9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21</w:t>
      </w:r>
      <w:r w:rsidR="002D6441">
        <w:rPr>
          <w:rFonts w:ascii="Times New Roman" w:hAnsi="Times New Roman" w:cs="Times New Roman"/>
          <w:b/>
          <w:sz w:val="26"/>
          <w:szCs w:val="26"/>
        </w:rPr>
        <w:t>.03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0A142162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1515849" w14:textId="77777777" w:rsidR="0011380B" w:rsidRDefault="0011380B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BF2C1" w14:textId="77777777" w:rsidR="00F94B93" w:rsidRPr="00F94B93" w:rsidRDefault="00F94B93" w:rsidP="00F94B9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94B9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Итоги деятельности Приморского Росреестра за 2023 год обсудили на заседании коллегии совместно с ППК «</w:t>
      </w:r>
      <w:proofErr w:type="spellStart"/>
      <w:r w:rsidRPr="00F94B9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Роскадастр</w:t>
      </w:r>
      <w:proofErr w:type="spellEnd"/>
      <w:r w:rsidRPr="00F94B9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14:paraId="407CC7D6" w14:textId="77777777" w:rsidR="00F94B93" w:rsidRPr="00F94B93" w:rsidRDefault="00F94B93" w:rsidP="00F94B9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4B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Приятным началом заседания стало награждение сотрудников ведомства. Нагрудными знаками «15 лет </w:t>
      </w:r>
      <w:proofErr w:type="spellStart"/>
      <w:r w:rsidRPr="00F94B9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Росреестру</w:t>
      </w:r>
      <w:proofErr w:type="spellEnd"/>
      <w:r w:rsidRPr="00F94B93">
        <w:rPr>
          <w:rFonts w:ascii="Times New Roman" w:eastAsiaTheme="minorHAnsi" w:hAnsi="Times New Roman" w:cs="Times New Roman"/>
          <w:sz w:val="28"/>
          <w:szCs w:val="28"/>
          <w:lang w:eastAsia="en-US"/>
        </w:rPr>
        <w:t>» были отмечены 11 сотрудников Управления. Кроме этого, руководитель Приморского Росреестра Александр Корнев вручил почетную грамоту Росреестра, Благодарственное письмо от имени Губернатора Приморского края, а также «Медаль за заслуги» за безупречный и эффективный труд.</w:t>
      </w:r>
    </w:p>
    <w:p w14:paraId="0E0B3430" w14:textId="77777777" w:rsidR="00F94B93" w:rsidRPr="00F94B93" w:rsidRDefault="00F94B93" w:rsidP="00F94B9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4B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коллегии обсудили результаты работы Приморского Росреестра в сфере государственного учета и регистрации прав, землеустройства, государственного земельного и геодезического надзора за 2023 год и отметили, что </w:t>
      </w:r>
      <w:r w:rsidRPr="00F94B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Управлением были достигнуты все п</w:t>
      </w:r>
      <w:r w:rsidRPr="00F94B93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оказатели результативности и эффективности деятельности за 2023 год.</w:t>
      </w:r>
    </w:p>
    <w:p w14:paraId="5EDDC7F0" w14:textId="77777777" w:rsidR="00F94B93" w:rsidRPr="00F94B93" w:rsidRDefault="00F94B93" w:rsidP="00F94B9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4B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Так, например, в</w:t>
      </w:r>
      <w:r w:rsidRPr="00F94B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2023 году сроки проведения учетно-регистрационных действий по сравнению с прошлым годом сократились в 1,5 раза и составили 1-2 рабочих дня. Значительно увеличилась доля заявлений, поданных в электронном виде. Обследовано 199 пунктов государственной геодезической, 155 нивелирной и 5 гравиметрической сети. </w:t>
      </w:r>
    </w:p>
    <w:p w14:paraId="7D4C2C5C" w14:textId="77777777" w:rsidR="00F94B93" w:rsidRPr="00F94B93" w:rsidRDefault="00F94B93" w:rsidP="00F94B9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94B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2024 году ведомство планирует продолжить работу по совершенствованию процессов оказания государственных услуг Росреестра, наполнению</w:t>
      </w:r>
      <w:r w:rsidRPr="00F94B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ЕГРН необходимыми сведениями, способствовать вовлечению в оборот земельных участков для строительства жилья и развития туризма.</w:t>
      </w:r>
    </w:p>
    <w:p w14:paraId="6E4EAE05" w14:textId="77777777" w:rsidR="00F94B93" w:rsidRPr="00F94B93" w:rsidRDefault="00F94B93" w:rsidP="00F94B9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4B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«</w:t>
      </w:r>
      <w:r w:rsidRPr="00F94B93">
        <w:rPr>
          <w:rFonts w:ascii="Times New Roman" w:eastAsiaTheme="minorHAnsi" w:hAnsi="Times New Roman" w:cs="Times New Roman"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Положительные результаты работы достигнуты благодаря коллективу Росреестра Приморского края и конструктивному взаимодействию с органами власти региона и местного самоуправления, филиалом ППК </w:t>
      </w:r>
      <w:proofErr w:type="spellStart"/>
      <w:r w:rsidRPr="00F94B93">
        <w:rPr>
          <w:rFonts w:ascii="Times New Roman" w:eastAsiaTheme="minorHAnsi" w:hAnsi="Times New Roman" w:cs="Times New Roman"/>
          <w:iCs/>
          <w:color w:val="000000"/>
          <w:sz w:val="28"/>
          <w:szCs w:val="28"/>
          <w:bdr w:val="none" w:sz="0" w:space="0" w:color="auto" w:frame="1"/>
          <w:lang w:eastAsia="en-US"/>
        </w:rPr>
        <w:t>Роскадастр</w:t>
      </w:r>
      <w:proofErr w:type="spellEnd"/>
      <w:r w:rsidRPr="00F94B93">
        <w:rPr>
          <w:rFonts w:ascii="Times New Roman" w:eastAsiaTheme="minorHAnsi" w:hAnsi="Times New Roman" w:cs="Times New Roman"/>
          <w:iCs/>
          <w:color w:val="000000"/>
          <w:sz w:val="28"/>
          <w:szCs w:val="28"/>
          <w:bdr w:val="none" w:sz="0" w:space="0" w:color="auto" w:frame="1"/>
          <w:lang w:eastAsia="en-US"/>
        </w:rPr>
        <w:t>.</w:t>
      </w:r>
      <w:r w:rsidRPr="00F94B93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94B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текущем году у Приморского Росреестра много работы: дальнейшее </w:t>
      </w:r>
      <w:r w:rsidRPr="00F94B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сокращение сроков</w:t>
      </w:r>
      <w:r w:rsidRPr="00F94B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проведения учетно-регистрационных процедур, </w:t>
      </w:r>
      <w:r w:rsidRPr="00F94B93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реализации госпрограммы «Национальная система пространственных данных», </w:t>
      </w:r>
      <w:proofErr w:type="spellStart"/>
      <w:r w:rsidRPr="00F94B93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цифровизация</w:t>
      </w:r>
      <w:proofErr w:type="spellEnd"/>
      <w:r w:rsidRPr="00F94B93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услуг»</w:t>
      </w:r>
      <w:r w:rsidRPr="00F94B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отметил руководитель Управления Росреестра по Приморскому краю Александр Корнев.</w:t>
      </w:r>
    </w:p>
    <w:p w14:paraId="5B76E588" w14:textId="77777777" w:rsidR="00F94B93" w:rsidRPr="00F94B93" w:rsidRDefault="00F94B93" w:rsidP="00F94B93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4B93">
        <w:rPr>
          <w:rFonts w:ascii="Times New Roman" w:eastAsiaTheme="minorHAnsi" w:hAnsi="Times New Roman" w:cs="Times New Roman"/>
          <w:sz w:val="28"/>
          <w:szCs w:val="28"/>
          <w:lang w:eastAsia="en-US"/>
        </w:rPr>
        <w:t>«Завершился очередной этап интеграции АО "Бюро технической инвентаризации и кадастровых работ» в ППК «</w:t>
      </w:r>
      <w:proofErr w:type="spellStart"/>
      <w:r w:rsidRPr="00F94B9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Роскадастр</w:t>
      </w:r>
      <w:proofErr w:type="spellEnd"/>
      <w:r w:rsidRPr="00F94B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С 01.03.2024 года, помимо широкого спектра услуг в области кадастровых и землеустроительных работ, мы оказываем полный комплекс услуги по технической инвентаризации. Работы производим качественно и в установленные сроки. Мы там, где люди» </w:t>
      </w:r>
      <w:r w:rsidRPr="00F94B93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- отметил директор филиала ППК «</w:t>
      </w:r>
      <w:proofErr w:type="spellStart"/>
      <w:r w:rsidRPr="00F94B93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Роскадастр</w:t>
      </w:r>
      <w:proofErr w:type="spellEnd"/>
      <w:r w:rsidRPr="00F94B93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» по ПК Владимир Хлапов. </w:t>
      </w:r>
    </w:p>
    <w:p w14:paraId="50C7C82F" w14:textId="1B578785" w:rsidR="00E12735" w:rsidRDefault="00E12735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644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1380B"/>
    <w:rsid w:val="00132E5C"/>
    <w:rsid w:val="0014038E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4B93"/>
    <w:rsid w:val="00F9786A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23</cp:revision>
  <cp:lastPrinted>2021-04-20T16:11:00Z</cp:lastPrinted>
  <dcterms:created xsi:type="dcterms:W3CDTF">2023-08-16T23:21:00Z</dcterms:created>
  <dcterms:modified xsi:type="dcterms:W3CDTF">2024-03-21T04:21:00Z</dcterms:modified>
</cp:coreProperties>
</file>