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08.11.2023</w:t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Пресс-служба Управления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Росреестра по Приморскому краю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+7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 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(423)</w:t>
      </w:r>
      <w:r>
        <w:rPr>
          <w:rFonts w:eastAsia="Calibri" w:cs="Times New Roman" w:ascii="Times New Roman" w:hAnsi="Times New Roman"/>
          <w:sz w:val="28"/>
          <w:szCs w:val="28"/>
          <w:lang w:val="en-US" w:eastAsia="en-US"/>
        </w:rPr>
        <w:t> 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245-49-23, доб. 1085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hyperlink r:id="rId3">
        <w:r>
          <w:rPr>
            <w:rFonts w:eastAsia="Times New Roman" w:cs="Times New Roman" w:ascii="Times New Roman" w:hAnsi="Times New Roman"/>
            <w:sz w:val="24"/>
            <w:szCs w:val="24"/>
          </w:rPr>
          <w:t>25press_rosreestr@mail.ru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690091, Владивосток, ул. Посьетская, д. </w:t>
      </w:r>
      <w:r>
        <w:rPr>
          <w:rFonts w:cs="Times New Roman" w:ascii="Times New Roman" w:hAnsi="Times New Roman"/>
          <w:sz w:val="24"/>
          <w:szCs w:val="24"/>
        </w:rPr>
        <w:t>48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Росреестр разъясняет: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какую сторону новое законодательство изменит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жизнь владельцев гаражей?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 2023 года вступил в силу Федеральный закон от 24 июля 2023 г. № 338-ФЗ «О гаражных объединениях и о внесении изменений в отдельные законодательные акты Российской Федерации».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закон затрагивает деятельность существующих гаражных кооперативов и устанавливает порядок управления общим имуществом, проведения общих собраний и уплаты членских взносов.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введены такие понятия как гараж, гаражный комплекс и территория гаражного назначения.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гараж – это помещение, которое создано для хранения личного транспорта, оно может включать в себя подвал и не более двух этажей для машин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>
        <w:r>
          <w:rPr>
            <w:rFonts w:ascii="Times New Roman" w:hAnsi="Times New Roman"/>
            <w:sz w:val="28"/>
            <w:szCs w:val="28"/>
          </w:rPr>
          <w:t>Территория гаражного назначения</w:t>
        </w:r>
      </w:hyperlink>
      <w:r>
        <w:rPr>
          <w:rFonts w:ascii="Times New Roman" w:hAnsi="Times New Roman"/>
          <w:sz w:val="28"/>
          <w:szCs w:val="28"/>
        </w:rPr>
        <w:t xml:space="preserve"> (ТГН) - совокупность земельных участков, на которых размещены или будут размещены гаражи для личного использования гражданами, а также земельные участки общего назначения.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>
        <w:r>
          <w:rPr>
            <w:rFonts w:ascii="Times New Roman" w:hAnsi="Times New Roman"/>
            <w:sz w:val="28"/>
            <w:szCs w:val="28"/>
          </w:rPr>
          <w:t>Гаражный комплекс</w:t>
        </w:r>
      </w:hyperlink>
      <w:r>
        <w:rPr>
          <w:rFonts w:ascii="Times New Roman" w:hAnsi="Times New Roman"/>
          <w:sz w:val="28"/>
          <w:szCs w:val="28"/>
        </w:rPr>
        <w:t xml:space="preserve"> - здание или сооружение (в том числе подземное) для размещения транспортных средств на машино-местах. В составе гаражного комплекса могут быть нежилые помещения.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общему имуществу в границах ТГН относятся объекты, предназначенные для общего пользования и составляющие ее общую инфраструктуру - пешеходные переходы, ворота, ограждения, котельные, технические площадки и площадки для размещения контейнеров для сбора твердых коммунальных отходов.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законе много говорится об общей собственности и об общем пользовании собственниками гаражей в границах ТГН, либо собственниками машино-мест и нежилых помещений, расположенных в гаражных комплексах.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законе закреплено, что член кооператива, полностью уплативший паевой взнос, вместе с правом собственности на гараж (машино-место, нежилое помещение) получает долю в праве собственности на общее имущество.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управления общим имуществом гаражных комплексов законом предусмотрено лишь три варианта: управлять самим, создать товарищество собственников недвижимости (ТСН) или передать соответствующие функции управляющей компании (ч. 1 ст. 18 Закона).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непосредственного управления общим имуществом в гаражном комплексе закон устанавливает особые правила. Например, такое управление допускается в гаражном комплексе, где количество машино-мест и нежилых помещений не превышает 30.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собственник помещения (гаража, машино–места) не примет участие в выборе способа управления или проголосует против принятого собранием решения, это не освобождает его от обязанности участвовать в расходах и издержках по содержанию и сохранению общего имущества соразмерно своей доле в праве на него (п. 1 ст. 259.4 ГК РФ).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также урегулировал возможность оформления в собственность земельных участков под гаражами в полосе отвода железных дорог. Эта земля сейчас в аренде ОАО «РЖД», и чтобы стать полноправным владельцем участка необходимо всего лишь взять согласие у компании.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закон не распространяется: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многоквартирные дома и земельные участки, входящие в состав общего имущества;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гаражи, которые являются вспомогательными объектами по отношению к индивидуальным жилым домам и дачам, объектам производственного или коммерческого назначения;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госсектора;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транспортных организаций;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некапитальные объекты;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6">
        <w:r>
          <w:rPr>
            <w:rFonts w:ascii="Times New Roman" w:hAnsi="Times New Roman"/>
            <w:sz w:val="28"/>
            <w:szCs w:val="28"/>
          </w:rPr>
          <w:t>парковочные места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173A9407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001385" cy="1270"/>
                <wp:effectExtent l="0" t="0" r="19050" b="1905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pt;margin-top:9.55pt;width:472.45pt;height:0pt;mso-position-horizontal:left;mso-position-horizontal-relative:margin" wp14:anchorId="173A9407" type="shapetype_32">
                <w10:wrap type="none"/>
                <v:fill o:detectmouseclick="t" on="false"/>
                <v:stroke color="#0070c0" weight="15840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240" w:after="240"/>
        <w:jc w:val="both"/>
        <w:rPr>
          <w:rFonts w:ascii="Segoe UI" w:hAnsi="Segoe UI" w:eastAsia="Arial Unicode MS" w:cs="Segoe UI"/>
          <w:b/>
          <w:b/>
          <w:kern w:val="2"/>
          <w:sz w:val="24"/>
          <w:szCs w:val="24"/>
          <w:lang w:eastAsia="sk-SK" w:bidi="hi-IN"/>
        </w:rPr>
      </w:pPr>
      <w:r>
        <w:rPr>
          <w:rFonts w:eastAsia="Arial Unicode MS" w:cs="Segoe UI" w:ascii="Segoe UI" w:hAnsi="Segoe UI"/>
          <w:b/>
          <w:kern w:val="2"/>
          <w:sz w:val="24"/>
          <w:szCs w:val="24"/>
          <w:lang w:eastAsia="sk-SK" w:bidi="hi-IN"/>
        </w:rPr>
        <w:t>О Росреестре</w:t>
      </w:r>
    </w:p>
    <w:p>
      <w:pPr>
        <w:pStyle w:val="Normal"/>
        <w:widowControl w:val="false"/>
        <w:suppressAutoHyphens w:val="true"/>
        <w:spacing w:lineRule="auto" w:line="240" w:before="240" w:after="240"/>
        <w:jc w:val="both"/>
        <w:rPr>
          <w:rFonts w:ascii="Segoe UI" w:hAnsi="Segoe UI" w:eastAsia="Arial Unicode MS" w:cs="Segoe UI"/>
          <w:kern w:val="2"/>
          <w:sz w:val="18"/>
          <w:szCs w:val="18"/>
          <w:lang w:eastAsia="hi-IN" w:bidi="hi-IN"/>
        </w:rPr>
      </w:pPr>
      <w:r>
        <w:rPr>
          <w:rFonts w:eastAsia="Arial Unicode MS" w:cs="Segoe UI" w:ascii="Segoe UI" w:hAnsi="Segoe UI"/>
          <w:kern w:val="2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ППК «Роскадастр» и ФГБУ «Центр геодезии, картографии и ИПД». </w:t>
      </w:r>
    </w:p>
    <w:p>
      <w:pPr>
        <w:pStyle w:val="Normal"/>
        <w:widowControl w:val="false"/>
        <w:suppressAutoHyphens w:val="true"/>
        <w:spacing w:lineRule="auto" w:line="240" w:before="240" w:after="240"/>
        <w:jc w:val="both"/>
        <w:rPr>
          <w:rFonts w:ascii="Segoe UI" w:hAnsi="Segoe UI" w:eastAsia="Arial Unicode MS" w:cs="Segoe UI"/>
          <w:kern w:val="2"/>
          <w:sz w:val="18"/>
          <w:szCs w:val="18"/>
          <w:lang w:eastAsia="hi-IN" w:bidi="hi-I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564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35eef"/>
    <w:pPr>
      <w:keepNext w:val="true"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>
    <w:name w:val="Интернет-ссылка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semiHidden/>
    <w:qFormat/>
    <w:rsid w:val="00f93aab"/>
    <w:rPr>
      <w:sz w:val="20"/>
      <w:szCs w:val="20"/>
    </w:rPr>
  </w:style>
  <w:style w:type="character" w:styleId="Style16" w:customStyle="1">
    <w:name w:val="Тема примечания Знак"/>
    <w:basedOn w:val="Style15"/>
    <w:link w:val="ab"/>
    <w:uiPriority w:val="99"/>
    <w:semiHidden/>
    <w:qFormat/>
    <w:rsid w:val="00f93aab"/>
    <w:rPr>
      <w:b/>
      <w:bCs/>
      <w:sz w:val="20"/>
      <w:szCs w:val="20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5084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uiPriority w:val="1"/>
    <w:qFormat/>
    <w:rsid w:val="00235e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4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f93aab"/>
    <w:pPr>
      <w:spacing w:lineRule="auto" w:line="240" w:before="0" w:after="160"/>
    </w:pPr>
    <w:rPr>
      <w:rFonts w:eastAsia="Calibri" w:eastAsia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67e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25press_rosreestr@mail.ru" TargetMode="External"/><Relationship Id="rId4" Type="http://schemas.openxmlformats.org/officeDocument/2006/relationships/hyperlink" Target="consultantplus://offline/ref=EF2AD9D72E89C02DDD086E620531DA170102371EA64140EAD962115FEF0639D93E3121B0B0133AF0184EC912ECC10716226C78A7AC1B2B8Br1W9F" TargetMode="External"/><Relationship Id="rId5" Type="http://schemas.openxmlformats.org/officeDocument/2006/relationships/hyperlink" Target="consultantplus://offline/ref=EF2AD9D72E89C02DDD086E620531DA170102371EA64140EAD962115FEF0639D93E3121B0B0133AF3164EC912ECC10716226C78A7AC1B2B8Br1W9F" TargetMode="External"/><Relationship Id="rId6" Type="http://schemas.openxmlformats.org/officeDocument/2006/relationships/hyperlink" Target="consultantplus://offline/ref=A8B43933103CE3171A9AC107188650EF69F257E5778802E8F231A073D66CAF9AA17A635ED7AAAF65DEF7D055B9D1CF08848F48CE1097K1Y8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LibreOffice/6.4.4.2$Linux_X86_64 LibreOffice_project/40$Build-2</Application>
  <Pages>3</Pages>
  <Words>540</Words>
  <Characters>3799</Characters>
  <CharactersWithSpaces>4449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2023-08-08T01:35:00Z</dcterms:created>
  <dc:creator>Пушкарская Диана Дмитриевна</dc:creator>
  <dc:description/>
  <dc:language>ru-RU</dc:language>
  <cp:lastModifiedBy>Кошель Ольга Андреевна</cp:lastModifiedBy>
  <cp:lastPrinted>2021-04-20T16:11:00Z</cp:lastPrinted>
  <dcterms:modified xsi:type="dcterms:W3CDTF">2023-11-08T01:37:00Z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