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2A19C" w14:textId="77777777" w:rsidR="00C60FCF" w:rsidRPr="00781471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r w:rsidRPr="00781471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1788260F" wp14:editId="5D28CAAA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019D37" w14:textId="75ECEA31" w:rsidR="00881D88" w:rsidRDefault="00881D88" w:rsidP="007A3677">
      <w:pPr>
        <w:pStyle w:val="a4"/>
        <w:shd w:val="clear" w:color="auto" w:fill="FFFFFF"/>
        <w:spacing w:before="0" w:beforeAutospacing="0"/>
        <w:ind w:firstLine="851"/>
        <w:jc w:val="center"/>
        <w:rPr>
          <w:b/>
          <w:spacing w:val="-5"/>
          <w:sz w:val="28"/>
          <w:szCs w:val="28"/>
        </w:rPr>
      </w:pPr>
      <w:r w:rsidRPr="00881D88">
        <w:rPr>
          <w:b/>
          <w:spacing w:val="-5"/>
          <w:sz w:val="28"/>
          <w:szCs w:val="28"/>
        </w:rPr>
        <w:t>Отделение СФР по Приморскому краю дополнительно проиндексировало страховые пенсии</w:t>
      </w:r>
      <w:r w:rsidR="00947BA3">
        <w:rPr>
          <w:b/>
          <w:spacing w:val="-5"/>
          <w:sz w:val="28"/>
          <w:szCs w:val="28"/>
        </w:rPr>
        <w:t xml:space="preserve"> до 9,5%</w:t>
      </w:r>
    </w:p>
    <w:p w14:paraId="1CBCA197" w14:textId="1F57A1AC" w:rsidR="00781471" w:rsidRPr="00781471" w:rsidRDefault="00D654BF" w:rsidP="007A3677">
      <w:pPr>
        <w:pStyle w:val="a4"/>
        <w:shd w:val="clear" w:color="auto" w:fill="FFFFFF"/>
        <w:spacing w:before="0" w:beforeAutospacing="0" w:line="336" w:lineRule="auto"/>
        <w:ind w:firstLine="851"/>
        <w:jc w:val="both"/>
        <w:rPr>
          <w:i/>
          <w:spacing w:val="-5"/>
        </w:rPr>
      </w:pPr>
      <w:r w:rsidRPr="00D654BF">
        <w:rPr>
          <w:i/>
          <w:spacing w:val="-5"/>
        </w:rPr>
        <w:t xml:space="preserve">Отделение СФР по </w:t>
      </w:r>
      <w:r>
        <w:rPr>
          <w:i/>
          <w:spacing w:val="-5"/>
        </w:rPr>
        <w:t xml:space="preserve">Приморскому краю дополнительно проиндексировало </w:t>
      </w:r>
      <w:r w:rsidRPr="00D654BF">
        <w:rPr>
          <w:i/>
          <w:spacing w:val="-5"/>
        </w:rPr>
        <w:t xml:space="preserve">страховые пенсии </w:t>
      </w:r>
      <w:r w:rsidR="00395CB0">
        <w:rPr>
          <w:i/>
          <w:spacing w:val="-5"/>
        </w:rPr>
        <w:t xml:space="preserve">жителей региона </w:t>
      </w:r>
      <w:r w:rsidR="00E854A1">
        <w:rPr>
          <w:i/>
          <w:spacing w:val="-5"/>
        </w:rPr>
        <w:t>до 9,5</w:t>
      </w:r>
      <w:r w:rsidR="00E854A1" w:rsidRPr="00D654BF">
        <w:rPr>
          <w:i/>
          <w:spacing w:val="-5"/>
        </w:rPr>
        <w:t>%</w:t>
      </w:r>
      <w:r w:rsidR="00E854A1">
        <w:rPr>
          <w:i/>
          <w:spacing w:val="-5"/>
        </w:rPr>
        <w:t>.</w:t>
      </w:r>
      <w:r w:rsidR="00E854A1" w:rsidRPr="00D654BF">
        <w:rPr>
          <w:i/>
          <w:spacing w:val="-5"/>
        </w:rPr>
        <w:t xml:space="preserve"> </w:t>
      </w:r>
      <w:r w:rsidR="00E854A1">
        <w:rPr>
          <w:i/>
          <w:spacing w:val="-5"/>
        </w:rPr>
        <w:t xml:space="preserve">Повышенные до этого показателя выплаты пенсионеры получат уже в феврале. </w:t>
      </w:r>
      <w:r w:rsidR="00947BA3" w:rsidRPr="00947BA3">
        <w:rPr>
          <w:i/>
          <w:spacing w:val="-5"/>
        </w:rPr>
        <w:t xml:space="preserve">Вместе с </w:t>
      </w:r>
      <w:r w:rsidR="00E854A1">
        <w:rPr>
          <w:i/>
          <w:spacing w:val="-5"/>
        </w:rPr>
        <w:t>увеличенной</w:t>
      </w:r>
      <w:r w:rsidR="00947BA3" w:rsidRPr="00947BA3">
        <w:rPr>
          <w:i/>
          <w:spacing w:val="-5"/>
        </w:rPr>
        <w:t xml:space="preserve"> пенсией за февраль </w:t>
      </w:r>
      <w:r w:rsidR="00395CB0">
        <w:rPr>
          <w:i/>
          <w:spacing w:val="-5"/>
        </w:rPr>
        <w:t>приморцам</w:t>
      </w:r>
      <w:r w:rsidR="00947BA3" w:rsidRPr="00947BA3">
        <w:rPr>
          <w:i/>
          <w:spacing w:val="-5"/>
        </w:rPr>
        <w:t xml:space="preserve"> также будет перечислена доплата </w:t>
      </w:r>
      <w:r w:rsidR="00AC5B08">
        <w:rPr>
          <w:i/>
          <w:spacing w:val="-5"/>
        </w:rPr>
        <w:t xml:space="preserve">за январь с учетом </w:t>
      </w:r>
      <w:proofErr w:type="spellStart"/>
      <w:r w:rsidR="00AC5B08">
        <w:rPr>
          <w:i/>
          <w:spacing w:val="-5"/>
        </w:rPr>
        <w:t>доиндексации</w:t>
      </w:r>
      <w:proofErr w:type="spellEnd"/>
      <w:r w:rsidR="00AC5B08">
        <w:rPr>
          <w:i/>
          <w:spacing w:val="-5"/>
        </w:rPr>
        <w:t xml:space="preserve">. </w:t>
      </w:r>
    </w:p>
    <w:p w14:paraId="72E68CD8" w14:textId="34BD8C45" w:rsidR="00F94046" w:rsidRDefault="00F94046" w:rsidP="007A3677">
      <w:pPr>
        <w:pStyle w:val="a4"/>
        <w:shd w:val="clear" w:color="auto" w:fill="FFFFFF"/>
        <w:spacing w:line="336" w:lineRule="auto"/>
        <w:ind w:firstLine="851"/>
        <w:jc w:val="both"/>
      </w:pPr>
      <w:r>
        <w:t xml:space="preserve">В соответствии с прогнозируемым уровнем инфляции на конец 2024 года страховые пенсии были проиндексированы на 7,3% с января текущего года. </w:t>
      </w:r>
      <w:r w:rsidR="00395CB0">
        <w:t>По</w:t>
      </w:r>
      <w:r w:rsidR="00CF136A">
        <w:t xml:space="preserve"> решению</w:t>
      </w:r>
      <w:r w:rsidR="00395CB0">
        <w:t xml:space="preserve"> П</w:t>
      </w:r>
      <w:r>
        <w:t>резидента</w:t>
      </w:r>
      <w:r w:rsidR="00395CB0">
        <w:t xml:space="preserve"> РФ</w:t>
      </w:r>
      <w:r w:rsidR="00AC5B08">
        <w:t xml:space="preserve"> </w:t>
      </w:r>
      <w:r w:rsidR="00CF136A">
        <w:t xml:space="preserve">1 </w:t>
      </w:r>
      <w:r>
        <w:t xml:space="preserve">февраля </w:t>
      </w:r>
      <w:r w:rsidR="00395CB0">
        <w:t>коэффициент</w:t>
      </w:r>
      <w:r>
        <w:t xml:space="preserve"> индексации </w:t>
      </w:r>
      <w:r w:rsidR="00CF136A">
        <w:t xml:space="preserve">был </w:t>
      </w:r>
      <w:r>
        <w:t xml:space="preserve">повышен до уровня фактического роста цен, который, согласно данным Росстата, составил 9,5%. </w:t>
      </w:r>
    </w:p>
    <w:p w14:paraId="750F4361" w14:textId="66BB155F" w:rsidR="00DA6512" w:rsidRDefault="00DA6512" w:rsidP="007A3677">
      <w:pPr>
        <w:pStyle w:val="a4"/>
        <w:shd w:val="clear" w:color="auto" w:fill="FFFFFF"/>
        <w:spacing w:line="336" w:lineRule="auto"/>
        <w:ind w:firstLine="851"/>
        <w:jc w:val="both"/>
      </w:pPr>
      <w:r w:rsidRPr="00DA6512">
        <w:t xml:space="preserve">Для каждого пенсионера индексация индивидуальна и зависит от размера получаемой пенсии. </w:t>
      </w:r>
      <w:r w:rsidR="00E854A1">
        <w:t xml:space="preserve">Кроме </w:t>
      </w:r>
      <w:r w:rsidRPr="00DA6512">
        <w:t>страхов</w:t>
      </w:r>
      <w:r w:rsidR="00E854A1">
        <w:t>ых</w:t>
      </w:r>
      <w:r w:rsidRPr="00DA6512">
        <w:t xml:space="preserve"> пенси</w:t>
      </w:r>
      <w:r w:rsidR="00395CB0">
        <w:t>й</w:t>
      </w:r>
      <w:r w:rsidRPr="00DA6512">
        <w:t xml:space="preserve"> по старости</w:t>
      </w:r>
      <w:r w:rsidR="00AC5B08">
        <w:t>,</w:t>
      </w:r>
      <w:r w:rsidRPr="00DA6512">
        <w:t xml:space="preserve"> также были повышены страховые пенсии по инвалидности и по случаю потери кормильца.</w:t>
      </w:r>
    </w:p>
    <w:p w14:paraId="1012F0A7" w14:textId="0F06BBF1" w:rsidR="00F94046" w:rsidRDefault="00E854A1" w:rsidP="007A3677">
      <w:pPr>
        <w:pStyle w:val="a4"/>
        <w:shd w:val="clear" w:color="auto" w:fill="FFFFFF"/>
        <w:spacing w:line="336" w:lineRule="auto"/>
        <w:ind w:firstLine="851"/>
        <w:jc w:val="both"/>
      </w:pPr>
      <w:r w:rsidRPr="00E854A1">
        <w:t>С 1 января 2025 г</w:t>
      </w:r>
      <w:r w:rsidR="00AC5B08">
        <w:t>од</w:t>
      </w:r>
      <w:r w:rsidR="005E6504">
        <w:t>а</w:t>
      </w:r>
      <w:bookmarkStart w:id="0" w:name="_GoBack"/>
      <w:bookmarkEnd w:id="0"/>
      <w:r w:rsidRPr="00E854A1">
        <w:t xml:space="preserve"> стоимость одного пенсионного коэффициента дополнительно увеличена до 145</w:t>
      </w:r>
      <w:r>
        <w:t>,69</w:t>
      </w:r>
      <w:r w:rsidRPr="00E854A1">
        <w:t xml:space="preserve"> руб</w:t>
      </w:r>
      <w:r>
        <w:t>лей</w:t>
      </w:r>
      <w:r w:rsidRPr="00E854A1">
        <w:t xml:space="preserve">, а размер фиксированной выплаты к страховой пенсии по старости </w:t>
      </w:r>
      <w:r w:rsidR="00395CB0">
        <w:t>—</w:t>
      </w:r>
      <w:r w:rsidRPr="00E854A1">
        <w:t xml:space="preserve"> до 8</w:t>
      </w:r>
      <w:r>
        <w:t xml:space="preserve"> </w:t>
      </w:r>
      <w:r w:rsidRPr="00E854A1">
        <w:t>907</w:t>
      </w:r>
      <w:r>
        <w:t>,7</w:t>
      </w:r>
      <w:r w:rsidRPr="00E854A1">
        <w:t xml:space="preserve"> руб</w:t>
      </w:r>
      <w:r>
        <w:t>лей.</w:t>
      </w:r>
      <w:r w:rsidRPr="00E854A1">
        <w:t xml:space="preserve"> </w:t>
      </w:r>
    </w:p>
    <w:p w14:paraId="6E7BBA14" w14:textId="09C93B42" w:rsidR="00DA6512" w:rsidRDefault="00F94046" w:rsidP="007A3677">
      <w:pPr>
        <w:pStyle w:val="a4"/>
        <w:shd w:val="clear" w:color="auto" w:fill="FFFFFF"/>
        <w:spacing w:line="336" w:lineRule="auto"/>
        <w:ind w:firstLine="851"/>
        <w:jc w:val="both"/>
      </w:pPr>
      <w:r>
        <w:t>Отметим также, что</w:t>
      </w:r>
      <w:r w:rsidRPr="00F94046">
        <w:t xml:space="preserve"> </w:t>
      </w:r>
      <w:r w:rsidR="00AC5B08">
        <w:t xml:space="preserve">в </w:t>
      </w:r>
      <w:r w:rsidRPr="00F94046">
        <w:t xml:space="preserve">соответствии с поправками в </w:t>
      </w:r>
      <w:r w:rsidR="007A3677">
        <w:t>Ф</w:t>
      </w:r>
      <w:r w:rsidRPr="00F94046">
        <w:t xml:space="preserve">едеральный закон о страховых пенсиях, которые вступили в силу с января 2025 года, </w:t>
      </w:r>
      <w:r w:rsidR="00DA6512" w:rsidRPr="00DA6512">
        <w:t>индексаци</w:t>
      </w:r>
      <w:r w:rsidR="005E6504">
        <w:t>я</w:t>
      </w:r>
      <w:r w:rsidR="00DA6512" w:rsidRPr="00DA6512">
        <w:t xml:space="preserve"> охватила не только неработающих, но и работающих пенсионеров</w:t>
      </w:r>
      <w:r w:rsidR="00DA6512">
        <w:t>.</w:t>
      </w:r>
    </w:p>
    <w:p w14:paraId="2A04DD08" w14:textId="7F3A40DF" w:rsidR="002E5EA5" w:rsidRPr="002F524B" w:rsidRDefault="00FD7957" w:rsidP="007A3677">
      <w:pPr>
        <w:pStyle w:val="a4"/>
        <w:shd w:val="clear" w:color="auto" w:fill="FFFFFF"/>
        <w:spacing w:line="336" w:lineRule="auto"/>
        <w:ind w:firstLine="851"/>
        <w:jc w:val="both"/>
      </w:pPr>
      <w:r w:rsidRPr="002F524B">
        <w:t xml:space="preserve"> </w:t>
      </w:r>
      <w:r w:rsidR="00F94046">
        <w:t>«</w:t>
      </w:r>
      <w:r w:rsidR="00DA6512" w:rsidRPr="00DA6512">
        <w:t xml:space="preserve">Процесс увеличения пенсии для работающих пенсионеров имеет свои особенности. Для этой категории граждан прибавка </w:t>
      </w:r>
      <w:r w:rsidR="00CF136A">
        <w:t>начисляется</w:t>
      </w:r>
      <w:r w:rsidR="00DA6512" w:rsidRPr="00DA6512">
        <w:t xml:space="preserve"> </w:t>
      </w:r>
      <w:r w:rsidR="00B30B31">
        <w:t>от</w:t>
      </w:r>
      <w:r w:rsidR="00DA6512" w:rsidRPr="00DA6512">
        <w:t xml:space="preserve"> установленно</w:t>
      </w:r>
      <w:r w:rsidR="00B30B31">
        <w:t>го</w:t>
      </w:r>
      <w:r w:rsidR="00DA6512" w:rsidRPr="00DA6512">
        <w:t xml:space="preserve"> размер</w:t>
      </w:r>
      <w:r w:rsidR="00B30B31">
        <w:t>а</w:t>
      </w:r>
      <w:r w:rsidR="00DA6512" w:rsidRPr="00DA6512">
        <w:t xml:space="preserve"> пенсии, который учитывает все индексации за период работы.</w:t>
      </w:r>
      <w:r w:rsidR="00DA6512">
        <w:t xml:space="preserve"> </w:t>
      </w:r>
      <w:r w:rsidR="00CF136A">
        <w:t>При увольнении пенсионера</w:t>
      </w:r>
      <w:r w:rsidR="00DA6512">
        <w:t xml:space="preserve"> его пенсия будет дополнительно увеличена исходя из всех пропущенных </w:t>
      </w:r>
      <w:r w:rsidR="007A3677">
        <w:t>повышений</w:t>
      </w:r>
      <w:r w:rsidR="00F94046">
        <w:t>»,</w:t>
      </w:r>
      <w:r w:rsidR="002E5EA5" w:rsidRPr="002F524B">
        <w:t xml:space="preserve"> </w:t>
      </w:r>
      <w:r w:rsidR="0082330B" w:rsidRPr="002F524B">
        <w:t>—</w:t>
      </w:r>
      <w:r w:rsidR="002E5EA5" w:rsidRPr="002F524B">
        <w:t xml:space="preserve"> рассказала руководитель Отделения СФР по Приморскому краю </w:t>
      </w:r>
      <w:r w:rsidR="002E5EA5" w:rsidRPr="002F524B">
        <w:rPr>
          <w:b/>
        </w:rPr>
        <w:t>Александра Вовченко</w:t>
      </w:r>
      <w:r w:rsidR="002E5EA5" w:rsidRPr="002F524B">
        <w:t>.</w:t>
      </w:r>
    </w:p>
    <w:p w14:paraId="49F9B114" w14:textId="4005FFF2" w:rsidR="00CF136A" w:rsidRDefault="00CF136A" w:rsidP="007A3677">
      <w:pPr>
        <w:pStyle w:val="a7"/>
        <w:spacing w:line="33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36A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дополнительную информацию можно по номеру телефона единого контакт-центра: 8 800 100 00 01 (звонок бесплатный, режим работы: </w:t>
      </w:r>
      <w:proofErr w:type="spellStart"/>
      <w:r w:rsidRPr="00CF136A">
        <w:rPr>
          <w:rFonts w:ascii="Times New Roman" w:eastAsia="Times New Roman" w:hAnsi="Times New Roman"/>
          <w:sz w:val="24"/>
          <w:szCs w:val="24"/>
          <w:lang w:eastAsia="ru-RU"/>
        </w:rPr>
        <w:t>пн-чт</w:t>
      </w:r>
      <w:proofErr w:type="spellEnd"/>
      <w:r w:rsidRPr="00CF136A">
        <w:rPr>
          <w:rFonts w:ascii="Times New Roman" w:eastAsia="Times New Roman" w:hAnsi="Times New Roman"/>
          <w:sz w:val="24"/>
          <w:szCs w:val="24"/>
          <w:lang w:eastAsia="ru-RU"/>
        </w:rPr>
        <w:t xml:space="preserve"> 8:30-17:30, </w:t>
      </w:r>
      <w:proofErr w:type="spellStart"/>
      <w:r w:rsidRPr="00CF136A">
        <w:rPr>
          <w:rFonts w:ascii="Times New Roman" w:eastAsia="Times New Roman" w:hAnsi="Times New Roman"/>
          <w:sz w:val="24"/>
          <w:szCs w:val="24"/>
          <w:lang w:eastAsia="ru-RU"/>
        </w:rPr>
        <w:t>пт</w:t>
      </w:r>
      <w:proofErr w:type="spellEnd"/>
      <w:r w:rsidRPr="00CF136A">
        <w:rPr>
          <w:rFonts w:ascii="Times New Roman" w:eastAsia="Times New Roman" w:hAnsi="Times New Roman"/>
          <w:sz w:val="24"/>
          <w:szCs w:val="24"/>
          <w:lang w:eastAsia="ru-RU"/>
        </w:rPr>
        <w:t xml:space="preserve"> 8:30-16:15) и в аккаунтах Отделения фонда по Приморскому краю в социальных сетях — </w:t>
      </w:r>
      <w:hyperlink r:id="rId7" w:history="1">
        <w:r w:rsidRPr="00395CB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ВКонтакте</w:t>
        </w:r>
      </w:hyperlink>
      <w:r w:rsidRPr="00CF136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Pr="00395CB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Одноклассники</w:t>
        </w:r>
      </w:hyperlink>
      <w:r w:rsidRPr="00CF13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9A4B60" w14:textId="0B0B1879" w:rsidR="00B23B69" w:rsidRDefault="006E5351" w:rsidP="007A3677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B23B69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D57B6"/>
    <w:multiLevelType w:val="hybridMultilevel"/>
    <w:tmpl w:val="2CF0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4E1B3D"/>
    <w:multiLevelType w:val="hybridMultilevel"/>
    <w:tmpl w:val="FBB6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60"/>
    <w:rsid w:val="00000313"/>
    <w:rsid w:val="00005769"/>
    <w:rsid w:val="000176E7"/>
    <w:rsid w:val="00017F1B"/>
    <w:rsid w:val="00017FAC"/>
    <w:rsid w:val="00032D97"/>
    <w:rsid w:val="00042221"/>
    <w:rsid w:val="00051395"/>
    <w:rsid w:val="00055364"/>
    <w:rsid w:val="00055A4A"/>
    <w:rsid w:val="0007659A"/>
    <w:rsid w:val="00076C03"/>
    <w:rsid w:val="000823A4"/>
    <w:rsid w:val="000876C7"/>
    <w:rsid w:val="00087F49"/>
    <w:rsid w:val="000A2F13"/>
    <w:rsid w:val="000B0EB2"/>
    <w:rsid w:val="000B152A"/>
    <w:rsid w:val="000B23B4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F1"/>
    <w:rsid w:val="002016B0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5CC0"/>
    <w:rsid w:val="002571BA"/>
    <w:rsid w:val="00262D71"/>
    <w:rsid w:val="002668BE"/>
    <w:rsid w:val="00266D05"/>
    <w:rsid w:val="002724C1"/>
    <w:rsid w:val="00282213"/>
    <w:rsid w:val="00290797"/>
    <w:rsid w:val="002A0E9F"/>
    <w:rsid w:val="002A3409"/>
    <w:rsid w:val="002A4C77"/>
    <w:rsid w:val="002A7EF2"/>
    <w:rsid w:val="002B29AE"/>
    <w:rsid w:val="002E5EA5"/>
    <w:rsid w:val="002F524B"/>
    <w:rsid w:val="002F61BD"/>
    <w:rsid w:val="0030509A"/>
    <w:rsid w:val="00316392"/>
    <w:rsid w:val="0031707C"/>
    <w:rsid w:val="00321BB3"/>
    <w:rsid w:val="00324DFD"/>
    <w:rsid w:val="00327E1E"/>
    <w:rsid w:val="00327F0E"/>
    <w:rsid w:val="0033423B"/>
    <w:rsid w:val="00335794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5CB0"/>
    <w:rsid w:val="003977A4"/>
    <w:rsid w:val="003977EA"/>
    <w:rsid w:val="003A1DD0"/>
    <w:rsid w:val="003A2168"/>
    <w:rsid w:val="003A47A9"/>
    <w:rsid w:val="003B241A"/>
    <w:rsid w:val="003B37C9"/>
    <w:rsid w:val="003B53DA"/>
    <w:rsid w:val="003B7843"/>
    <w:rsid w:val="003C1467"/>
    <w:rsid w:val="003C438E"/>
    <w:rsid w:val="003C7BDF"/>
    <w:rsid w:val="003D1CF0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1DC0"/>
    <w:rsid w:val="003F60C5"/>
    <w:rsid w:val="003F7E73"/>
    <w:rsid w:val="00402047"/>
    <w:rsid w:val="004066AA"/>
    <w:rsid w:val="0042044B"/>
    <w:rsid w:val="004204F5"/>
    <w:rsid w:val="004276FE"/>
    <w:rsid w:val="004319BE"/>
    <w:rsid w:val="00437ACD"/>
    <w:rsid w:val="004436DF"/>
    <w:rsid w:val="00447358"/>
    <w:rsid w:val="00447F32"/>
    <w:rsid w:val="00465792"/>
    <w:rsid w:val="00476394"/>
    <w:rsid w:val="00477EB7"/>
    <w:rsid w:val="00480464"/>
    <w:rsid w:val="004A1675"/>
    <w:rsid w:val="004B094B"/>
    <w:rsid w:val="004C0CF2"/>
    <w:rsid w:val="004D308A"/>
    <w:rsid w:val="004D6583"/>
    <w:rsid w:val="004E4C00"/>
    <w:rsid w:val="004E6BE2"/>
    <w:rsid w:val="004E7898"/>
    <w:rsid w:val="00504130"/>
    <w:rsid w:val="00504902"/>
    <w:rsid w:val="00504C90"/>
    <w:rsid w:val="00531704"/>
    <w:rsid w:val="0054539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08D7"/>
    <w:rsid w:val="00586599"/>
    <w:rsid w:val="00586872"/>
    <w:rsid w:val="00592D58"/>
    <w:rsid w:val="005A3BDE"/>
    <w:rsid w:val="005A5D13"/>
    <w:rsid w:val="005B101C"/>
    <w:rsid w:val="005B2D91"/>
    <w:rsid w:val="005C4390"/>
    <w:rsid w:val="005D1FA7"/>
    <w:rsid w:val="005D4F43"/>
    <w:rsid w:val="005D6CBF"/>
    <w:rsid w:val="005E59BB"/>
    <w:rsid w:val="005E6504"/>
    <w:rsid w:val="005F0751"/>
    <w:rsid w:val="005F0813"/>
    <w:rsid w:val="005F09CA"/>
    <w:rsid w:val="005F7B5C"/>
    <w:rsid w:val="005F7C07"/>
    <w:rsid w:val="0060322A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350"/>
    <w:rsid w:val="006715A5"/>
    <w:rsid w:val="006827DC"/>
    <w:rsid w:val="00684A9C"/>
    <w:rsid w:val="00685F0D"/>
    <w:rsid w:val="00686235"/>
    <w:rsid w:val="006871F0"/>
    <w:rsid w:val="006A0E3E"/>
    <w:rsid w:val="006A376E"/>
    <w:rsid w:val="006A43C5"/>
    <w:rsid w:val="006B5C2E"/>
    <w:rsid w:val="006B62EB"/>
    <w:rsid w:val="006B6E5A"/>
    <w:rsid w:val="006C011F"/>
    <w:rsid w:val="006C1D0A"/>
    <w:rsid w:val="006C1EAD"/>
    <w:rsid w:val="006D2EBF"/>
    <w:rsid w:val="006D3294"/>
    <w:rsid w:val="006D3E73"/>
    <w:rsid w:val="006D4F1D"/>
    <w:rsid w:val="006E074E"/>
    <w:rsid w:val="006E29DA"/>
    <w:rsid w:val="006E5351"/>
    <w:rsid w:val="006F1646"/>
    <w:rsid w:val="006F28F5"/>
    <w:rsid w:val="006F52DA"/>
    <w:rsid w:val="007037B6"/>
    <w:rsid w:val="0070543F"/>
    <w:rsid w:val="00705FB7"/>
    <w:rsid w:val="007072A8"/>
    <w:rsid w:val="00707810"/>
    <w:rsid w:val="00716590"/>
    <w:rsid w:val="00717D75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564D9"/>
    <w:rsid w:val="00756570"/>
    <w:rsid w:val="00767E25"/>
    <w:rsid w:val="007703DE"/>
    <w:rsid w:val="00771EEC"/>
    <w:rsid w:val="00773815"/>
    <w:rsid w:val="00776F43"/>
    <w:rsid w:val="00781471"/>
    <w:rsid w:val="00785302"/>
    <w:rsid w:val="00793B50"/>
    <w:rsid w:val="00795A2F"/>
    <w:rsid w:val="007A3677"/>
    <w:rsid w:val="007A3893"/>
    <w:rsid w:val="007B60DC"/>
    <w:rsid w:val="007B7AD1"/>
    <w:rsid w:val="007C0B8B"/>
    <w:rsid w:val="007C171B"/>
    <w:rsid w:val="007C4603"/>
    <w:rsid w:val="007C6556"/>
    <w:rsid w:val="007D0452"/>
    <w:rsid w:val="007D2000"/>
    <w:rsid w:val="007D7CA1"/>
    <w:rsid w:val="007E0777"/>
    <w:rsid w:val="007E1EAE"/>
    <w:rsid w:val="007E6B69"/>
    <w:rsid w:val="007F0084"/>
    <w:rsid w:val="007F14F8"/>
    <w:rsid w:val="007F5214"/>
    <w:rsid w:val="007F6CF6"/>
    <w:rsid w:val="007F74E0"/>
    <w:rsid w:val="00804531"/>
    <w:rsid w:val="00807F34"/>
    <w:rsid w:val="008124D7"/>
    <w:rsid w:val="0081257E"/>
    <w:rsid w:val="00817428"/>
    <w:rsid w:val="00820B77"/>
    <w:rsid w:val="0082330B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5CCF"/>
    <w:rsid w:val="00867C8B"/>
    <w:rsid w:val="00873711"/>
    <w:rsid w:val="00877CF7"/>
    <w:rsid w:val="00881D88"/>
    <w:rsid w:val="008845F7"/>
    <w:rsid w:val="00885676"/>
    <w:rsid w:val="00886964"/>
    <w:rsid w:val="008936BA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D2064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47BA3"/>
    <w:rsid w:val="009521A8"/>
    <w:rsid w:val="009525BA"/>
    <w:rsid w:val="00967447"/>
    <w:rsid w:val="00971F8B"/>
    <w:rsid w:val="009826E7"/>
    <w:rsid w:val="009870AC"/>
    <w:rsid w:val="00990CA8"/>
    <w:rsid w:val="009962B1"/>
    <w:rsid w:val="00996DAE"/>
    <w:rsid w:val="00997285"/>
    <w:rsid w:val="009A2A05"/>
    <w:rsid w:val="009A2D7D"/>
    <w:rsid w:val="009A4E19"/>
    <w:rsid w:val="009B59F1"/>
    <w:rsid w:val="009C3FCF"/>
    <w:rsid w:val="009D0228"/>
    <w:rsid w:val="009D04DA"/>
    <w:rsid w:val="009D0846"/>
    <w:rsid w:val="009E561F"/>
    <w:rsid w:val="009F387A"/>
    <w:rsid w:val="009F6846"/>
    <w:rsid w:val="00A05963"/>
    <w:rsid w:val="00A0659A"/>
    <w:rsid w:val="00A13986"/>
    <w:rsid w:val="00A235E3"/>
    <w:rsid w:val="00A24D99"/>
    <w:rsid w:val="00A3106D"/>
    <w:rsid w:val="00A44C59"/>
    <w:rsid w:val="00A531CE"/>
    <w:rsid w:val="00A5679D"/>
    <w:rsid w:val="00A64D85"/>
    <w:rsid w:val="00A651E2"/>
    <w:rsid w:val="00A672AB"/>
    <w:rsid w:val="00A7156B"/>
    <w:rsid w:val="00A9078B"/>
    <w:rsid w:val="00A91440"/>
    <w:rsid w:val="00A92ED1"/>
    <w:rsid w:val="00A94DBC"/>
    <w:rsid w:val="00A962FB"/>
    <w:rsid w:val="00A97907"/>
    <w:rsid w:val="00AA15DC"/>
    <w:rsid w:val="00AA59A4"/>
    <w:rsid w:val="00AB675E"/>
    <w:rsid w:val="00AB6A9F"/>
    <w:rsid w:val="00AB7864"/>
    <w:rsid w:val="00AC5B08"/>
    <w:rsid w:val="00AC6D6F"/>
    <w:rsid w:val="00AC7CAB"/>
    <w:rsid w:val="00AD04C8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0B31"/>
    <w:rsid w:val="00B328F1"/>
    <w:rsid w:val="00B410D1"/>
    <w:rsid w:val="00B45E46"/>
    <w:rsid w:val="00B47B43"/>
    <w:rsid w:val="00B553D7"/>
    <w:rsid w:val="00B6232B"/>
    <w:rsid w:val="00B708EB"/>
    <w:rsid w:val="00B763FE"/>
    <w:rsid w:val="00B764F0"/>
    <w:rsid w:val="00B8163F"/>
    <w:rsid w:val="00B82D71"/>
    <w:rsid w:val="00B82E3D"/>
    <w:rsid w:val="00B8509A"/>
    <w:rsid w:val="00B87A48"/>
    <w:rsid w:val="00B95064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00EF"/>
    <w:rsid w:val="00C31308"/>
    <w:rsid w:val="00C34056"/>
    <w:rsid w:val="00C37222"/>
    <w:rsid w:val="00C46A01"/>
    <w:rsid w:val="00C50A1D"/>
    <w:rsid w:val="00C52883"/>
    <w:rsid w:val="00C55857"/>
    <w:rsid w:val="00C57AB6"/>
    <w:rsid w:val="00C60FCF"/>
    <w:rsid w:val="00C63F38"/>
    <w:rsid w:val="00C71DAA"/>
    <w:rsid w:val="00C721FC"/>
    <w:rsid w:val="00C771A1"/>
    <w:rsid w:val="00C80F43"/>
    <w:rsid w:val="00C81945"/>
    <w:rsid w:val="00C8374B"/>
    <w:rsid w:val="00C94A3A"/>
    <w:rsid w:val="00C977A6"/>
    <w:rsid w:val="00CA2070"/>
    <w:rsid w:val="00CB3780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136A"/>
    <w:rsid w:val="00CF3279"/>
    <w:rsid w:val="00CF7F27"/>
    <w:rsid w:val="00D0039C"/>
    <w:rsid w:val="00D0399D"/>
    <w:rsid w:val="00D10870"/>
    <w:rsid w:val="00D1542C"/>
    <w:rsid w:val="00D20322"/>
    <w:rsid w:val="00D216FD"/>
    <w:rsid w:val="00D227FA"/>
    <w:rsid w:val="00D25571"/>
    <w:rsid w:val="00D30257"/>
    <w:rsid w:val="00D3403B"/>
    <w:rsid w:val="00D376E8"/>
    <w:rsid w:val="00D44AC6"/>
    <w:rsid w:val="00D47299"/>
    <w:rsid w:val="00D53FA8"/>
    <w:rsid w:val="00D54D71"/>
    <w:rsid w:val="00D578D1"/>
    <w:rsid w:val="00D617AD"/>
    <w:rsid w:val="00D654BF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6325"/>
    <w:rsid w:val="00D96C8E"/>
    <w:rsid w:val="00D979E0"/>
    <w:rsid w:val="00DA2E81"/>
    <w:rsid w:val="00DA6512"/>
    <w:rsid w:val="00DB7C8E"/>
    <w:rsid w:val="00DC30EB"/>
    <w:rsid w:val="00DD2D8A"/>
    <w:rsid w:val="00DD2EB9"/>
    <w:rsid w:val="00DD39DE"/>
    <w:rsid w:val="00DF0B32"/>
    <w:rsid w:val="00DF18A6"/>
    <w:rsid w:val="00E01978"/>
    <w:rsid w:val="00E01F0E"/>
    <w:rsid w:val="00E04262"/>
    <w:rsid w:val="00E06DEA"/>
    <w:rsid w:val="00E076FF"/>
    <w:rsid w:val="00E12A7C"/>
    <w:rsid w:val="00E13C48"/>
    <w:rsid w:val="00E14A5F"/>
    <w:rsid w:val="00E15D50"/>
    <w:rsid w:val="00E17BB9"/>
    <w:rsid w:val="00E20D1C"/>
    <w:rsid w:val="00E23E9B"/>
    <w:rsid w:val="00E256AD"/>
    <w:rsid w:val="00E27862"/>
    <w:rsid w:val="00E27D71"/>
    <w:rsid w:val="00E335B6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54A1"/>
    <w:rsid w:val="00E86060"/>
    <w:rsid w:val="00E90120"/>
    <w:rsid w:val="00EA438C"/>
    <w:rsid w:val="00EA632F"/>
    <w:rsid w:val="00EB4A63"/>
    <w:rsid w:val="00EB5C4A"/>
    <w:rsid w:val="00EB605A"/>
    <w:rsid w:val="00EC134F"/>
    <w:rsid w:val="00ED1D6E"/>
    <w:rsid w:val="00ED40A9"/>
    <w:rsid w:val="00EE10B1"/>
    <w:rsid w:val="00EE4A0E"/>
    <w:rsid w:val="00EE6C5B"/>
    <w:rsid w:val="00EF1A27"/>
    <w:rsid w:val="00EF2632"/>
    <w:rsid w:val="00EF37BA"/>
    <w:rsid w:val="00F02DB8"/>
    <w:rsid w:val="00F03BDD"/>
    <w:rsid w:val="00F051A5"/>
    <w:rsid w:val="00F056CC"/>
    <w:rsid w:val="00F07D3E"/>
    <w:rsid w:val="00F10FA8"/>
    <w:rsid w:val="00F1196D"/>
    <w:rsid w:val="00F1251B"/>
    <w:rsid w:val="00F16E2B"/>
    <w:rsid w:val="00F200CA"/>
    <w:rsid w:val="00F23C00"/>
    <w:rsid w:val="00F23FDE"/>
    <w:rsid w:val="00F250A9"/>
    <w:rsid w:val="00F26371"/>
    <w:rsid w:val="00F26FFA"/>
    <w:rsid w:val="00F40E51"/>
    <w:rsid w:val="00F52192"/>
    <w:rsid w:val="00F54BCE"/>
    <w:rsid w:val="00F6081C"/>
    <w:rsid w:val="00F67113"/>
    <w:rsid w:val="00F70613"/>
    <w:rsid w:val="00F72A2E"/>
    <w:rsid w:val="00F7787C"/>
    <w:rsid w:val="00F77AD1"/>
    <w:rsid w:val="00F805CA"/>
    <w:rsid w:val="00F83067"/>
    <w:rsid w:val="00F922A8"/>
    <w:rsid w:val="00F93052"/>
    <w:rsid w:val="00F94046"/>
    <w:rsid w:val="00F975A1"/>
    <w:rsid w:val="00FB121A"/>
    <w:rsid w:val="00FB2F4B"/>
    <w:rsid w:val="00FB4C03"/>
    <w:rsid w:val="00FC453D"/>
    <w:rsid w:val="00FC61EC"/>
    <w:rsid w:val="00FC7817"/>
    <w:rsid w:val="00FD0052"/>
    <w:rsid w:val="00FD2003"/>
    <w:rsid w:val="00FD2E61"/>
    <w:rsid w:val="00FD418A"/>
    <w:rsid w:val="00FD4569"/>
    <w:rsid w:val="00FD46B7"/>
    <w:rsid w:val="00FD795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7C5BF"/>
  <w15:docId w15:val="{808ED07B-5CBE-401D-B9B6-872ED7E7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3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_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EE1F-7874-416F-8890-6D996B08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2079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2</cp:revision>
  <cp:lastPrinted>2023-06-23T02:03:00Z</cp:lastPrinted>
  <dcterms:created xsi:type="dcterms:W3CDTF">2025-01-30T22:50:00Z</dcterms:created>
  <dcterms:modified xsi:type="dcterms:W3CDTF">2025-01-30T22:50:00Z</dcterms:modified>
</cp:coreProperties>
</file>