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1B16A4">
      <w:pPr>
        <w:pStyle w:val="a7"/>
        <w:spacing w:before="120" w:after="120" w:line="360" w:lineRule="auto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F8" w:rsidRPr="007020F8">
        <w:rPr>
          <w:b/>
          <w:bCs/>
        </w:rPr>
        <w:t xml:space="preserve"> </w:t>
      </w:r>
    </w:p>
    <w:p w:rsidR="009C44E8" w:rsidRDefault="00A60751" w:rsidP="009C44E8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Более 7</w:t>
      </w:r>
      <w:r w:rsidR="00D6285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C93E9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приморцев</w:t>
      </w:r>
      <w:proofErr w:type="spellEnd"/>
      <w:r w:rsidR="00C93E9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оформили</w:t>
      </w:r>
      <w:r w:rsidR="007020F8" w:rsidRPr="007020F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выплаты из </w:t>
      </w:r>
      <w:r w:rsidR="00DE668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средств </w:t>
      </w:r>
      <w:r w:rsidR="007020F8" w:rsidRPr="007020F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пенсионных накоплений</w:t>
      </w:r>
    </w:p>
    <w:p w:rsidR="000D7699" w:rsidRPr="00F076E4" w:rsidRDefault="000D7699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F575E3" w:rsidRDefault="00A45AFF" w:rsidP="00F575E3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 Приморском крае </w:t>
      </w:r>
      <w:r w:rsidR="00B84A21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женщины, которым исполнилось 55 лет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B84A21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мужчины с 60 лет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</w:t>
      </w:r>
      <w:r w:rsidR="00CD652A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граждане</w:t>
      </w:r>
      <w:r w:rsidR="0007386E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CD652A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имеющие право на досрочную страховую пенсию по старости</w:t>
      </w:r>
      <w:r w:rsidR="000C0BF7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="00CD652A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84A21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если у них </w:t>
      </w:r>
      <w:r w:rsidR="00CD652A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</w:t>
      </w:r>
      <w:r w:rsidR="00B84A21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формировались пенсионные накопления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 могут оформи</w:t>
      </w:r>
      <w:bookmarkStart w:id="0" w:name="_GoBack"/>
      <w:bookmarkEnd w:id="0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ть в</w:t>
      </w:r>
      <w:r w:rsidRPr="00A45A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ыплаты из пенсионных накоплений</w:t>
      </w:r>
      <w:r w:rsidR="00B84A21" w:rsidRPr="00A45A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="007020F8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F575E3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В 2023 году Отделение Социального фонда по Приморскому краю назначило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такие</w:t>
      </w:r>
      <w:r w:rsidR="00F575E3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выплаты </w:t>
      </w:r>
      <w:r w:rsidR="00A60751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7726</w:t>
      </w:r>
      <w:r w:rsidR="00F575E3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F575E3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приморцам</w:t>
      </w:r>
      <w:proofErr w:type="spellEnd"/>
      <w:r w:rsidR="00F575E3" w:rsidRPr="0071764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</w:p>
    <w:p w:rsidR="00DE668C" w:rsidRPr="0071764F" w:rsidRDefault="00DE668C" w:rsidP="00F575E3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F575E3" w:rsidRDefault="0071764F" w:rsidP="00085584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D6285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«</w:t>
      </w:r>
      <w:r w:rsid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Есть несколько в</w:t>
      </w:r>
      <w:r w:rsidR="00F575E3" w:rsidRP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ид</w:t>
      </w:r>
      <w:r w:rsid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ов</w:t>
      </w:r>
      <w:r w:rsidR="00F575E3" w:rsidRP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выплат средств пенсионных накоплений:</w:t>
      </w:r>
      <w:r w:rsid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единовременная, </w:t>
      </w:r>
      <w:r w:rsidR="00F575E3" w:rsidRP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срочная пенсионная выплата </w:t>
      </w:r>
      <w:r w:rsid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 </w:t>
      </w:r>
      <w:r w:rsidR="00F575E3" w:rsidRPr="00F575E3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накопительная пенсия.</w:t>
      </w:r>
      <w:r w:rsidR="0008558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575E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 прошлом году </w:t>
      </w:r>
      <w:r w:rsid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7356</w:t>
      </w:r>
      <w:r w:rsidR="007020F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человек получили</w:t>
      </w:r>
      <w:r w:rsidR="00FA686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все </w:t>
      </w:r>
      <w:r w:rsidR="007020F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свои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пенсионные накопления единовременно</w:t>
      </w:r>
      <w:r w:rsidR="00111E5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т.к. их накопительная пенсия </w:t>
      </w:r>
      <w:r w:rsidR="0002390B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не превышала</w:t>
      </w:r>
      <w:r w:rsidR="00DE668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5% 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от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обще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размер</w:t>
      </w:r>
      <w:r w:rsidR="0002390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а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их страховой пенсии</w:t>
      </w:r>
      <w:r w:rsidR="00111E56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="001414F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111E56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Средний размер единовременной выплаты составляет </w:t>
      </w:r>
      <w:r w:rsidR="00873B59" w:rsidRP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16</w:t>
      </w:r>
      <w:r w:rsidR="00A60751" w:rsidRP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,5</w:t>
      </w:r>
      <w:r w:rsidR="00873B59" w:rsidRP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тысяч рублей. </w:t>
      </w:r>
      <w:r w:rsidR="00F575E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Срочную и накопительную пенсию начали получать </w:t>
      </w:r>
      <w:r w:rsid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370 </w:t>
      </w:r>
      <w:proofErr w:type="spellStart"/>
      <w:r w:rsidR="00F575E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приморц</w:t>
      </w:r>
      <w:r w:rsidR="00A60751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ев</w:t>
      </w:r>
      <w:proofErr w:type="spellEnd"/>
      <w:r w:rsidR="00D6285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», </w:t>
      </w:r>
      <w:r w:rsidR="00DE668C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— </w:t>
      </w:r>
      <w:r w:rsidR="00D62857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рассказала руководитель Отделения Социального фонда России по Приморскому краю </w:t>
      </w:r>
      <w:r w:rsidR="00D62857" w:rsidRPr="00D62857">
        <w:rPr>
          <w:rFonts w:ascii="Times New Roman" w:eastAsia="Times New Roman" w:hAnsi="Times New Roman"/>
          <w:b/>
          <w:spacing w:val="6"/>
          <w:sz w:val="24"/>
          <w:szCs w:val="24"/>
          <w:lang w:eastAsia="ru-RU"/>
        </w:rPr>
        <w:t>Александра Вовченко</w:t>
      </w:r>
      <w:r w:rsidR="00F575E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. </w:t>
      </w:r>
    </w:p>
    <w:p w:rsidR="00DE668C" w:rsidRDefault="00DE668C" w:rsidP="00085584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B84A21" w:rsidRDefault="00F575E3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рочную пенсионную выплату ежемесячно получа</w:t>
      </w:r>
      <w:r w:rsidR="00CD652A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ю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т </w:t>
      </w:r>
      <w:r w:rsid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1133</w:t>
      </w:r>
      <w:r w:rsidR="00AA7F74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6E4D9E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приморских 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пенсионер</w:t>
      </w:r>
      <w:r w:rsidR="00926E2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а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. Средний размер такой выплаты </w:t>
      </w:r>
      <w:r w:rsidR="00F14426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составляет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AA7F74" w:rsidRP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2</w:t>
      </w:r>
      <w:r w:rsidR="00CF06DB" w:rsidRP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7</w:t>
      </w:r>
      <w:r w:rsidR="00AA7F74" w:rsidRP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00 </w:t>
      </w:r>
      <w:r w:rsidR="00B84A21" w:rsidRP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рублей. 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Право на </w:t>
      </w:r>
      <w:r w:rsidR="006F60FF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нее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имеют участники программы государственного </w:t>
      </w:r>
      <w:proofErr w:type="spellStart"/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софинансирования</w:t>
      </w:r>
      <w:proofErr w:type="spellEnd"/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AA7F74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пенсионных накоплений</w:t>
      </w:r>
      <w:r w:rsidR="00B84A21" w:rsidRPr="002E796D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 добровольно уплатившие страховые взносы на накопительную пенсию, а также владельцы материнского капитала, направившие его средства на формирование своей накопительной пенсии. Продолжительность срочной пенсионной выплаты определяет сам гражданин, но она не может быть менее 10 лет.</w:t>
      </w:r>
    </w:p>
    <w:p w:rsidR="00DE668C" w:rsidRPr="002E796D" w:rsidRDefault="00DE668C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</w:p>
    <w:p w:rsidR="00B84A21" w:rsidRPr="00B84A21" w:rsidRDefault="00B84A21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lastRenderedPageBreak/>
        <w:t xml:space="preserve">Особенность срочной пенсионной выплаты заключается в том, что правопреемники пенсионера вправе получить невыплаченный остаток этих средств после его смерти. Но это правило не распространяется на </w:t>
      </w:r>
      <w:r w:rsidR="00950D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средства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материнского капитала. Они будут выплачены только правопреемникам по сертификату на материнский капитал </w:t>
      </w:r>
      <w:r w:rsidR="00950D0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—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отцу ребенка или непосредственно детям.</w:t>
      </w:r>
    </w:p>
    <w:p w:rsidR="00B84A21" w:rsidRDefault="00950D0E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Накопительную пенсию </w:t>
      </w:r>
      <w:r w:rsidR="00B84A21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ежемесячно получают </w:t>
      </w:r>
      <w:r w:rsidR="00CF06D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1370</w:t>
      </w:r>
      <w:r w:rsidR="00B84A21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proofErr w:type="spellStart"/>
      <w:r w:rsidR="00F14426" w:rsidRPr="00711C79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приморцев</w:t>
      </w:r>
      <w:proofErr w:type="spellEnd"/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 Их пенсионные накопления состав</w:t>
      </w:r>
      <w:r w:rsidR="00CD652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или</w:t>
      </w:r>
      <w:r w:rsidR="00B9328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более 5% </w:t>
      </w:r>
      <w:r w:rsidR="00AA7F74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по отношению 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 общему размеру их страховой пенсии</w:t>
      </w:r>
      <w:r w:rsidR="006F60F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="00F1442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акопительная пенсия всегда назначается с пожизненным условием ее получения.</w:t>
      </w:r>
    </w:p>
    <w:p w:rsidR="00F37BE2" w:rsidRDefault="0051038F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Узнать о своих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пенсионны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накопления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и у какого страховщика </w:t>
      </w:r>
      <w:r w:rsidR="00FA686C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они инвестируются,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можно </w:t>
      </w:r>
      <w:r w:rsidR="00B84A21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из выписки о состоянии ин</w:t>
      </w:r>
      <w:r w:rsidR="00FA686C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дивидуального лицевого счета</w:t>
      </w:r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в личном кабинете на портале «</w:t>
      </w:r>
      <w:proofErr w:type="spellStart"/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Госуслуг</w:t>
      </w:r>
      <w:proofErr w:type="spellEnd"/>
      <w:r w:rsidR="00083A4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»</w:t>
      </w:r>
      <w:r w:rsidR="006F60FF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.</w:t>
      </w:r>
      <w:r w:rsidR="00FA686C"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Если пенсионные накопления находятся в негосударственном пенсионном фонде, </w:t>
      </w:r>
      <w:r w:rsidR="00D0011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узнать контактную информацию можно</w:t>
      </w:r>
      <w:r w:rsidR="00B84A21"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на сайте Национальной ассоциации негосударственных пенсионных фондов (НАПФ).</w:t>
      </w:r>
    </w:p>
    <w:p w:rsidR="006E4D9E" w:rsidRPr="00B84A21" w:rsidRDefault="006E4D9E" w:rsidP="006E4D9E">
      <w:pPr>
        <w:pStyle w:val="a7"/>
        <w:spacing w:before="120" w:after="120" w:line="360" w:lineRule="auto"/>
        <w:ind w:firstLine="708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Подать заявление на получение средств пенсионн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ых накоплений можно на портале </w:t>
      </w:r>
      <w:proofErr w:type="spellStart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, в МФЦ,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либо в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любой 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клиентск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ой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Отделения С</w:t>
      </w:r>
      <w:r w:rsidRPr="006F60FF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оциального фонда России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 Приморскому краю</w:t>
      </w:r>
      <w:r w:rsidRPr="00B84A21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F37BE2" w:rsidRPr="009C3FCF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426539" w:rsidRDefault="00F37BE2" w:rsidP="00F37BE2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426539" w:rsidSect="009B4DC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5A4A"/>
    <w:rsid w:val="0007386E"/>
    <w:rsid w:val="0007659A"/>
    <w:rsid w:val="00083A40"/>
    <w:rsid w:val="00085584"/>
    <w:rsid w:val="000A4E5B"/>
    <w:rsid w:val="000B5097"/>
    <w:rsid w:val="000C0235"/>
    <w:rsid w:val="000C0BF7"/>
    <w:rsid w:val="000C19C9"/>
    <w:rsid w:val="000D7699"/>
    <w:rsid w:val="000E6163"/>
    <w:rsid w:val="00111E56"/>
    <w:rsid w:val="00111FDB"/>
    <w:rsid w:val="001150DD"/>
    <w:rsid w:val="00116D60"/>
    <w:rsid w:val="00121B9B"/>
    <w:rsid w:val="00125D2A"/>
    <w:rsid w:val="00130CD7"/>
    <w:rsid w:val="001356AD"/>
    <w:rsid w:val="001414FD"/>
    <w:rsid w:val="00146D0F"/>
    <w:rsid w:val="00151799"/>
    <w:rsid w:val="00156910"/>
    <w:rsid w:val="00181B4B"/>
    <w:rsid w:val="00190BD6"/>
    <w:rsid w:val="001927AF"/>
    <w:rsid w:val="00196DE8"/>
    <w:rsid w:val="001A252A"/>
    <w:rsid w:val="001B16A4"/>
    <w:rsid w:val="001C51B8"/>
    <w:rsid w:val="001D4614"/>
    <w:rsid w:val="001E45AA"/>
    <w:rsid w:val="002003F1"/>
    <w:rsid w:val="00213D99"/>
    <w:rsid w:val="00214F7F"/>
    <w:rsid w:val="00222F52"/>
    <w:rsid w:val="00225950"/>
    <w:rsid w:val="00233ECF"/>
    <w:rsid w:val="00262D71"/>
    <w:rsid w:val="002668BE"/>
    <w:rsid w:val="00267245"/>
    <w:rsid w:val="00267367"/>
    <w:rsid w:val="002724C1"/>
    <w:rsid w:val="00284442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54A65"/>
    <w:rsid w:val="00356810"/>
    <w:rsid w:val="00362887"/>
    <w:rsid w:val="003767E7"/>
    <w:rsid w:val="003A47A9"/>
    <w:rsid w:val="003B2E36"/>
    <w:rsid w:val="003B37C9"/>
    <w:rsid w:val="003B53DA"/>
    <w:rsid w:val="003D73FD"/>
    <w:rsid w:val="003D7A8C"/>
    <w:rsid w:val="003E5211"/>
    <w:rsid w:val="003F7E73"/>
    <w:rsid w:val="00410AA0"/>
    <w:rsid w:val="00410D7C"/>
    <w:rsid w:val="004202F1"/>
    <w:rsid w:val="00426539"/>
    <w:rsid w:val="004276FE"/>
    <w:rsid w:val="00447F32"/>
    <w:rsid w:val="00465792"/>
    <w:rsid w:val="00476394"/>
    <w:rsid w:val="00477EB7"/>
    <w:rsid w:val="004942BE"/>
    <w:rsid w:val="00504130"/>
    <w:rsid w:val="0051038F"/>
    <w:rsid w:val="00545392"/>
    <w:rsid w:val="00564678"/>
    <w:rsid w:val="00570958"/>
    <w:rsid w:val="00586599"/>
    <w:rsid w:val="005922A6"/>
    <w:rsid w:val="005934BA"/>
    <w:rsid w:val="005A3BDE"/>
    <w:rsid w:val="005A720D"/>
    <w:rsid w:val="005E59BB"/>
    <w:rsid w:val="005F0751"/>
    <w:rsid w:val="005F09CA"/>
    <w:rsid w:val="006056DC"/>
    <w:rsid w:val="0061326D"/>
    <w:rsid w:val="00614CC1"/>
    <w:rsid w:val="00616C77"/>
    <w:rsid w:val="006203A8"/>
    <w:rsid w:val="006446FD"/>
    <w:rsid w:val="006645BD"/>
    <w:rsid w:val="006715A5"/>
    <w:rsid w:val="00674C8D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E4D9E"/>
    <w:rsid w:val="006F60FF"/>
    <w:rsid w:val="007020F8"/>
    <w:rsid w:val="0070543F"/>
    <w:rsid w:val="00711C79"/>
    <w:rsid w:val="0071764F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5305"/>
    <w:rsid w:val="007E0777"/>
    <w:rsid w:val="007E1EAE"/>
    <w:rsid w:val="007E6B69"/>
    <w:rsid w:val="007F5214"/>
    <w:rsid w:val="007F6CF6"/>
    <w:rsid w:val="007F74E0"/>
    <w:rsid w:val="00801E41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73B59"/>
    <w:rsid w:val="00886964"/>
    <w:rsid w:val="008A0F5A"/>
    <w:rsid w:val="008B0704"/>
    <w:rsid w:val="008B3C71"/>
    <w:rsid w:val="008C5A0E"/>
    <w:rsid w:val="008D26CA"/>
    <w:rsid w:val="008E71FC"/>
    <w:rsid w:val="0091146C"/>
    <w:rsid w:val="00912B25"/>
    <w:rsid w:val="009201C0"/>
    <w:rsid w:val="00926E2F"/>
    <w:rsid w:val="009334DF"/>
    <w:rsid w:val="009450C0"/>
    <w:rsid w:val="00950D0E"/>
    <w:rsid w:val="009525BA"/>
    <w:rsid w:val="00967447"/>
    <w:rsid w:val="00974307"/>
    <w:rsid w:val="00991914"/>
    <w:rsid w:val="00997285"/>
    <w:rsid w:val="009A2D7D"/>
    <w:rsid w:val="009B4DCB"/>
    <w:rsid w:val="009B59F1"/>
    <w:rsid w:val="009C3FCF"/>
    <w:rsid w:val="009C44E8"/>
    <w:rsid w:val="009D04DA"/>
    <w:rsid w:val="009D53A2"/>
    <w:rsid w:val="009D78EB"/>
    <w:rsid w:val="009F6846"/>
    <w:rsid w:val="00A3106D"/>
    <w:rsid w:val="00A45AFF"/>
    <w:rsid w:val="00A50B1E"/>
    <w:rsid w:val="00A5679D"/>
    <w:rsid w:val="00A60751"/>
    <w:rsid w:val="00A9078B"/>
    <w:rsid w:val="00A91440"/>
    <w:rsid w:val="00A92ED1"/>
    <w:rsid w:val="00A962FB"/>
    <w:rsid w:val="00A96DA7"/>
    <w:rsid w:val="00AA15DC"/>
    <w:rsid w:val="00AA7F74"/>
    <w:rsid w:val="00AB675E"/>
    <w:rsid w:val="00AB6A9F"/>
    <w:rsid w:val="00AC510D"/>
    <w:rsid w:val="00AC7CAB"/>
    <w:rsid w:val="00AF0335"/>
    <w:rsid w:val="00AF0DB0"/>
    <w:rsid w:val="00AF7644"/>
    <w:rsid w:val="00B044B7"/>
    <w:rsid w:val="00B07B53"/>
    <w:rsid w:val="00B1169B"/>
    <w:rsid w:val="00B133D8"/>
    <w:rsid w:val="00B21668"/>
    <w:rsid w:val="00B233A4"/>
    <w:rsid w:val="00B328F1"/>
    <w:rsid w:val="00B457CD"/>
    <w:rsid w:val="00B764F0"/>
    <w:rsid w:val="00B82E3D"/>
    <w:rsid w:val="00B84A21"/>
    <w:rsid w:val="00B87A48"/>
    <w:rsid w:val="00B93289"/>
    <w:rsid w:val="00BA52E7"/>
    <w:rsid w:val="00BA6A39"/>
    <w:rsid w:val="00BC5DFC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63F38"/>
    <w:rsid w:val="00C721FC"/>
    <w:rsid w:val="00C93E9E"/>
    <w:rsid w:val="00CB4673"/>
    <w:rsid w:val="00CB7179"/>
    <w:rsid w:val="00CC126E"/>
    <w:rsid w:val="00CC42E0"/>
    <w:rsid w:val="00CD652A"/>
    <w:rsid w:val="00CE3236"/>
    <w:rsid w:val="00CF06DB"/>
    <w:rsid w:val="00CF7F27"/>
    <w:rsid w:val="00D00119"/>
    <w:rsid w:val="00D0039C"/>
    <w:rsid w:val="00D227FA"/>
    <w:rsid w:val="00D30257"/>
    <w:rsid w:val="00D4072B"/>
    <w:rsid w:val="00D41992"/>
    <w:rsid w:val="00D47299"/>
    <w:rsid w:val="00D612BE"/>
    <w:rsid w:val="00D617AD"/>
    <w:rsid w:val="00D62857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DE668C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959CE"/>
    <w:rsid w:val="00EA438C"/>
    <w:rsid w:val="00EA632F"/>
    <w:rsid w:val="00EB4A63"/>
    <w:rsid w:val="00EB5C4A"/>
    <w:rsid w:val="00EB605A"/>
    <w:rsid w:val="00ED1D6E"/>
    <w:rsid w:val="00ED40A9"/>
    <w:rsid w:val="00ED6B62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22111"/>
    <w:rsid w:val="00F30978"/>
    <w:rsid w:val="00F37BE2"/>
    <w:rsid w:val="00F40E51"/>
    <w:rsid w:val="00F575E3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E094A"/>
    <w:rsid w:val="00FE110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866441-C2A0-4A08-88D7-3FD65C4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3DC4D-EF70-4F23-9FE2-06B0EB77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2646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16</cp:revision>
  <cp:lastPrinted>2024-02-13T03:42:00Z</cp:lastPrinted>
  <dcterms:created xsi:type="dcterms:W3CDTF">2024-02-14T00:21:00Z</dcterms:created>
  <dcterms:modified xsi:type="dcterms:W3CDTF">2024-02-19T22:49:00Z</dcterms:modified>
</cp:coreProperties>
</file>