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84" w:rsidRDefault="0072220D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F84" w:rsidRDefault="00B10F8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F84" w:rsidRDefault="00CA2C2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7E7357">
        <w:rPr>
          <w:rFonts w:ascii="Times New Roman" w:hAnsi="Times New Roman" w:cs="Times New Roman"/>
          <w:b/>
          <w:sz w:val="28"/>
          <w:szCs w:val="28"/>
        </w:rPr>
        <w:t>олее 89</w:t>
      </w:r>
      <w:r w:rsidR="00AF672F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72220D">
        <w:rPr>
          <w:rFonts w:ascii="Times New Roman" w:hAnsi="Times New Roman" w:cs="Times New Roman"/>
          <w:b/>
          <w:sz w:val="28"/>
          <w:szCs w:val="28"/>
        </w:rPr>
        <w:t xml:space="preserve"> семей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Приморском крае </w:t>
      </w:r>
      <w:r w:rsidR="0072220D">
        <w:rPr>
          <w:rFonts w:ascii="Times New Roman" w:hAnsi="Times New Roman" w:cs="Times New Roman"/>
          <w:b/>
          <w:sz w:val="28"/>
          <w:szCs w:val="28"/>
        </w:rPr>
        <w:t>улучшили жилищные условия 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материнского капитала </w:t>
      </w:r>
    </w:p>
    <w:bookmarkEnd w:id="0"/>
    <w:p w:rsidR="00B10F84" w:rsidRDefault="00B10F8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F84" w:rsidRDefault="00FA3339" w:rsidP="00C8384E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Приобретение или строительство жилья является о</w:t>
      </w:r>
      <w:r w:rsidR="007222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дним из наиболее популярных способов </w:t>
      </w:r>
      <w:r w:rsidR="00C838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использования средств материнского капитала</w:t>
      </w:r>
      <w:r w:rsidR="0072220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Улучшить таким образом жилищные условия можно, когда ребенку, в связи с рождением или усыновлением которого оформлен сертификат, исполнится три года. Уплатить первоначальный взнос по жилищному кредиту или погасить его материнским капиталом можно сразу после рождения ребенка. </w:t>
      </w:r>
    </w:p>
    <w:p w:rsidR="00B10F84" w:rsidRDefault="00B10F84" w:rsidP="00C8384E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10F84" w:rsidRDefault="0072220D" w:rsidP="00C8384E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Отделение Социального фонда России по Приморскому краю за время действия программы материнского капитала (с 2007 года) одобрило заявления на улучшение жилищных условий 89482 семей на общую сумму 39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,2 миллиарда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рублей, в том числе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38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462 заявлени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— на покупку и строительство жилья без использования кредитных средств на общую сумму 12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,6 миллиарда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рублей. На строительство или реконструкцию частных домов 5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,5 тысяч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приморских семей направили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35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миллиарда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 Еще 1400 семей приобрели жилье за счет участия в долевом строительстве и кооперативах на сумму 621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,2 миллиона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</w:t>
      </w:r>
    </w:p>
    <w:p w:rsidR="00B10F84" w:rsidRDefault="00B10F84" w:rsidP="00C8384E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10F84" w:rsidRDefault="0072220D" w:rsidP="00C8384E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2023 году 2017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семей в Приморском крае улучшили жилищные условия за счет материнского капитала без привлечения кредитных средств. При этом 1630 семей приобрели готовое жилье и </w:t>
      </w:r>
      <w:r w:rsidR="005D074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387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семей направили деньги на строительство</w:t>
      </w:r>
      <w:r w:rsidR="005D074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реконструкцию жилья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Общая сумма одобренных заявок по двум направлениям составила 972</w:t>
      </w:r>
      <w:r w:rsidR="00DB55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миллиона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 xml:space="preserve"> </w:t>
      </w:r>
    </w:p>
    <w:p w:rsidR="00627A96" w:rsidRDefault="00627A96" w:rsidP="00C8384E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</w:pPr>
    </w:p>
    <w:p w:rsidR="00627A96" w:rsidRPr="00627A96" w:rsidRDefault="00627A96" w:rsidP="00627A96">
      <w:pPr>
        <w:spacing w:afterAutospacing="1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27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1 февраля Социальный фонд проиндексирует материнский капитал на 7,4%. Размер </w:t>
      </w:r>
      <w:proofErr w:type="spellStart"/>
      <w:r w:rsidRPr="00627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маткапитала</w:t>
      </w:r>
      <w:proofErr w:type="spellEnd"/>
      <w:r w:rsidRPr="00627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первого ребенка увеличится на 43 тысяч</w:t>
      </w:r>
      <w:r w:rsidR="007B651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r w:rsidRPr="00627A9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 и составит 630 380,78 рубля, на второго ребенка увеличится на 57 тысяч рублей и составит 833 024,74 рубля. </w:t>
      </w:r>
    </w:p>
    <w:p w:rsidR="00B10F84" w:rsidRDefault="00B10F84" w:rsidP="00C8384E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</w:pPr>
    </w:p>
    <w:p w:rsidR="00B10F84" w:rsidRDefault="0072220D" w:rsidP="00472678">
      <w:pPr>
        <w:pStyle w:val="Standard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lastRenderedPageBreak/>
        <w:t xml:space="preserve">Заявление на распоряжение материнским капиталом можно подать </w:t>
      </w:r>
      <w:r w:rsidR="004726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портале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="0047267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МФЦ или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в клиентской службе Отделения Социального фонда России по Приморскому краю. </w:t>
      </w:r>
    </w:p>
    <w:p w:rsidR="00B10F84" w:rsidRDefault="00472678" w:rsidP="00C8384E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 xml:space="preserve">Единый контакт-центр: </w:t>
      </w:r>
      <w:r w:rsidR="0072220D">
        <w:rPr>
          <w:rFonts w:ascii="Times New Roman" w:hAnsi="Times New Roman" w:cs="Times New Roman"/>
          <w:shd w:val="clear" w:color="auto" w:fill="FFFFFF"/>
        </w:rPr>
        <w:t xml:space="preserve">8 800 10 000 01 (звонок бесплатный). </w:t>
      </w:r>
    </w:p>
    <w:p w:rsidR="00B10F84" w:rsidRDefault="0072220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B10F84" w:rsidRDefault="0072220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6D2B1A" w:rsidRDefault="0072220D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sectPr w:rsidR="006D2B1A" w:rsidSect="006D2B1A">
      <w:pgSz w:w="11906" w:h="16838"/>
      <w:pgMar w:top="851" w:right="850" w:bottom="426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B10F84"/>
    <w:rsid w:val="00145F3A"/>
    <w:rsid w:val="00145F3F"/>
    <w:rsid w:val="00157CC4"/>
    <w:rsid w:val="00310385"/>
    <w:rsid w:val="00387A6D"/>
    <w:rsid w:val="00472678"/>
    <w:rsid w:val="004B16F5"/>
    <w:rsid w:val="004B7BDA"/>
    <w:rsid w:val="005D074C"/>
    <w:rsid w:val="00627A96"/>
    <w:rsid w:val="006D2B1A"/>
    <w:rsid w:val="0072220D"/>
    <w:rsid w:val="007B6512"/>
    <w:rsid w:val="007E7357"/>
    <w:rsid w:val="00805450"/>
    <w:rsid w:val="0082697B"/>
    <w:rsid w:val="00880E53"/>
    <w:rsid w:val="00A53603"/>
    <w:rsid w:val="00A54DBB"/>
    <w:rsid w:val="00AF672F"/>
    <w:rsid w:val="00B10F84"/>
    <w:rsid w:val="00C72925"/>
    <w:rsid w:val="00C8384E"/>
    <w:rsid w:val="00CA2C26"/>
    <w:rsid w:val="00CC02CA"/>
    <w:rsid w:val="00DB552F"/>
    <w:rsid w:val="00E864A9"/>
    <w:rsid w:val="00EA6485"/>
    <w:rsid w:val="00FA3339"/>
    <w:rsid w:val="00FD1A77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1063"/>
  <w15:docId w15:val="{2D84BC73-EF90-4D8E-A3C3-DEC6925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Textbody"/>
    <w:rPr>
      <w:rFonts w:cs="Mangal"/>
    </w:rPr>
  </w:style>
  <w:style w:type="paragraph" w:styleId="a8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a">
    <w:name w:val="No Spacing"/>
    <w:qFormat/>
    <w:pPr>
      <w:textAlignment w:val="baseline"/>
    </w:pPr>
    <w:rPr>
      <w:rFonts w:eastAsia="Calibri" w:cs="Calibri"/>
    </w:rPr>
  </w:style>
  <w:style w:type="paragraph" w:styleId="ab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c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Булах Ольга Владимировна</cp:lastModifiedBy>
  <cp:revision>10</cp:revision>
  <cp:lastPrinted>2024-01-21T22:50:00Z</cp:lastPrinted>
  <dcterms:created xsi:type="dcterms:W3CDTF">2024-01-23T00:26:00Z</dcterms:created>
  <dcterms:modified xsi:type="dcterms:W3CDTF">2024-01-30T04:11:00Z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