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53" w:rsidRDefault="00872B53" w:rsidP="00DD2EB9">
      <w:pPr>
        <w:pStyle w:val="NoSpacing"/>
        <w:rPr>
          <w:b/>
          <w:bCs/>
          <w:sz w:val="24"/>
          <w:szCs w:val="24"/>
        </w:rPr>
      </w:pPr>
    </w:p>
    <w:p w:rsidR="00872B53" w:rsidRDefault="00872B53" w:rsidP="00072ACE">
      <w:pPr>
        <w:pStyle w:val="NoSpacing"/>
        <w:spacing w:after="240"/>
        <w:jc w:val="both"/>
        <w:rPr>
          <w:rFonts w:cs="Arial"/>
          <w:b/>
          <w:bCs/>
          <w:color w:val="212121"/>
          <w:spacing w:val="-8"/>
          <w:kern w:val="36"/>
          <w:sz w:val="26"/>
          <w:szCs w:val="26"/>
          <w:lang w:eastAsia="ru-RU"/>
        </w:rPr>
      </w:pPr>
      <w:r>
        <w:rPr>
          <w:rFonts w:cs="Arial"/>
          <w:b/>
          <w:bCs/>
          <w:color w:val="212121"/>
          <w:spacing w:val="-8"/>
          <w:kern w:val="36"/>
          <w:sz w:val="26"/>
          <w:szCs w:val="26"/>
          <w:lang w:eastAsia="ru-RU"/>
        </w:rPr>
        <w:t>Пенсионный фонд информирует</w:t>
      </w:r>
    </w:p>
    <w:p w:rsidR="00872B53" w:rsidRDefault="00872B53" w:rsidP="00072ACE">
      <w:pPr>
        <w:pStyle w:val="NoSpacing"/>
        <w:spacing w:after="240"/>
        <w:jc w:val="both"/>
        <w:rPr>
          <w:rFonts w:cs="Arial"/>
          <w:b/>
          <w:bCs/>
          <w:color w:val="212121"/>
          <w:spacing w:val="-8"/>
          <w:kern w:val="36"/>
          <w:sz w:val="26"/>
          <w:szCs w:val="26"/>
          <w:lang w:eastAsia="ru-RU"/>
        </w:rPr>
      </w:pPr>
      <w:r>
        <w:rPr>
          <w:rFonts w:cs="Arial"/>
          <w:b/>
          <w:bCs/>
          <w:color w:val="212121"/>
          <w:spacing w:val="-8"/>
          <w:kern w:val="36"/>
          <w:sz w:val="26"/>
          <w:szCs w:val="26"/>
          <w:lang w:eastAsia="ru-RU"/>
        </w:rPr>
        <w:t xml:space="preserve">С начала </w:t>
      </w:r>
      <w:r w:rsidRPr="00E57842">
        <w:rPr>
          <w:rFonts w:cs="Arial"/>
          <w:b/>
          <w:bCs/>
          <w:color w:val="212121"/>
          <w:spacing w:val="-8"/>
          <w:kern w:val="36"/>
          <w:sz w:val="26"/>
          <w:szCs w:val="26"/>
          <w:lang w:eastAsia="ru-RU"/>
        </w:rPr>
        <w:t xml:space="preserve">года </w:t>
      </w:r>
      <w:r>
        <w:rPr>
          <w:rFonts w:cs="Arial"/>
          <w:b/>
          <w:bCs/>
          <w:color w:val="212121"/>
          <w:spacing w:val="-8"/>
          <w:kern w:val="36"/>
          <w:sz w:val="26"/>
          <w:szCs w:val="26"/>
          <w:lang w:eastAsia="ru-RU"/>
        </w:rPr>
        <w:t>б</w:t>
      </w:r>
      <w:r w:rsidRPr="00E57842">
        <w:rPr>
          <w:rFonts w:cs="Arial"/>
          <w:b/>
          <w:bCs/>
          <w:color w:val="212121"/>
          <w:spacing w:val="-8"/>
          <w:kern w:val="36"/>
          <w:sz w:val="26"/>
          <w:szCs w:val="26"/>
          <w:lang w:eastAsia="ru-RU"/>
        </w:rPr>
        <w:t xml:space="preserve">олее </w:t>
      </w:r>
      <w:r>
        <w:rPr>
          <w:rFonts w:cs="Arial"/>
          <w:b/>
          <w:bCs/>
          <w:color w:val="212121"/>
          <w:spacing w:val="-8"/>
          <w:kern w:val="36"/>
          <w:sz w:val="26"/>
          <w:szCs w:val="26"/>
          <w:lang w:eastAsia="ru-RU"/>
        </w:rPr>
        <w:t xml:space="preserve">76 </w:t>
      </w:r>
      <w:r w:rsidRPr="00E57842">
        <w:rPr>
          <w:rFonts w:cs="Arial"/>
          <w:b/>
          <w:bCs/>
          <w:color w:val="212121"/>
          <w:spacing w:val="-8"/>
          <w:kern w:val="36"/>
          <w:sz w:val="26"/>
          <w:szCs w:val="26"/>
          <w:lang w:eastAsia="ru-RU"/>
        </w:rPr>
        <w:t xml:space="preserve">млн. рублей пенсионных накоплений получили правопреемники </w:t>
      </w:r>
    </w:p>
    <w:p w:rsidR="00872B53" w:rsidRPr="00074583" w:rsidRDefault="00872B53" w:rsidP="00072ACE">
      <w:pPr>
        <w:pStyle w:val="NoSpacing"/>
        <w:spacing w:after="240"/>
        <w:jc w:val="both"/>
        <w:rPr>
          <w:b/>
          <w:bCs/>
          <w:sz w:val="24"/>
          <w:szCs w:val="24"/>
        </w:rPr>
      </w:pPr>
    </w:p>
    <w:p w:rsidR="00872B53" w:rsidRPr="00F47DAB" w:rsidRDefault="00872B53" w:rsidP="007D1D15">
      <w:pPr>
        <w:ind w:firstLine="709"/>
        <w:jc w:val="both"/>
        <w:rPr>
          <w:rFonts w:ascii="Calibri" w:hAnsi="Calibri"/>
          <w:color w:val="000000"/>
        </w:rPr>
      </w:pPr>
      <w:r w:rsidRPr="00F47DAB">
        <w:rPr>
          <w:rFonts w:ascii="Calibri" w:hAnsi="Calibri"/>
          <w:bCs/>
          <w:color w:val="000000"/>
        </w:rPr>
        <w:t xml:space="preserve">В </w:t>
      </w:r>
      <w:r w:rsidRPr="00F47DAB">
        <w:rPr>
          <w:rFonts w:ascii="Calibri" w:hAnsi="Calibri"/>
          <w:color w:val="000000"/>
        </w:rPr>
        <w:t xml:space="preserve">Приморском крае </w:t>
      </w:r>
      <w:r w:rsidRPr="00F47DAB">
        <w:rPr>
          <w:rFonts w:ascii="Calibri" w:hAnsi="Calibri"/>
          <w:bCs/>
          <w:iCs/>
          <w:color w:val="000000"/>
        </w:rPr>
        <w:t>с начала</w:t>
      </w:r>
      <w:r w:rsidRPr="00F47DAB">
        <w:rPr>
          <w:rFonts w:ascii="Calibri" w:hAnsi="Calibri"/>
          <w:b/>
          <w:bCs/>
          <w:i/>
          <w:iCs/>
          <w:color w:val="000000"/>
        </w:rPr>
        <w:t xml:space="preserve"> </w:t>
      </w:r>
      <w:r w:rsidRPr="00F47DAB">
        <w:rPr>
          <w:rFonts w:ascii="Calibri" w:hAnsi="Calibri"/>
          <w:color w:val="000000"/>
        </w:rPr>
        <w:t xml:space="preserve">2022 года пенсионные накопления своих </w:t>
      </w:r>
      <w:r w:rsidRPr="00F47DAB">
        <w:rPr>
          <w:rFonts w:ascii="Calibri" w:hAnsi="Calibri"/>
          <w:b/>
          <w:color w:val="000000"/>
        </w:rPr>
        <w:t xml:space="preserve"> </w:t>
      </w:r>
      <w:r w:rsidRPr="00F47DAB">
        <w:rPr>
          <w:rFonts w:ascii="Calibri" w:hAnsi="Calibri"/>
          <w:color w:val="000000"/>
        </w:rPr>
        <w:t>умерших родственников получили</w:t>
      </w:r>
      <w:r>
        <w:rPr>
          <w:rFonts w:ascii="Calibri" w:hAnsi="Calibri"/>
          <w:color w:val="000000"/>
        </w:rPr>
        <w:t xml:space="preserve"> более 1,5 тыс. человек</w:t>
      </w:r>
      <w:r w:rsidRPr="00F47DAB">
        <w:rPr>
          <w:rFonts w:ascii="Calibri" w:hAnsi="Calibri"/>
          <w:color w:val="000000"/>
        </w:rPr>
        <w:t>. Общая сумма выплат правопреемникам, перечисленных Пенсионным фондом России, составила</w:t>
      </w:r>
      <w:r>
        <w:rPr>
          <w:rFonts w:ascii="Calibri" w:hAnsi="Calibri"/>
          <w:color w:val="000000"/>
        </w:rPr>
        <w:t xml:space="preserve"> более 76 м</w:t>
      </w:r>
      <w:r w:rsidRPr="00F47DAB">
        <w:rPr>
          <w:rFonts w:ascii="Calibri" w:hAnsi="Calibri"/>
          <w:color w:val="000000"/>
        </w:rPr>
        <w:t>л</w:t>
      </w:r>
      <w:r>
        <w:rPr>
          <w:rFonts w:ascii="Calibri" w:hAnsi="Calibri"/>
          <w:color w:val="000000"/>
        </w:rPr>
        <w:t xml:space="preserve">н. </w:t>
      </w:r>
      <w:r w:rsidRPr="00F47DAB">
        <w:rPr>
          <w:rFonts w:ascii="Calibri" w:hAnsi="Calibri"/>
          <w:color w:val="000000"/>
        </w:rPr>
        <w:t xml:space="preserve">рублей.  </w:t>
      </w:r>
    </w:p>
    <w:p w:rsidR="00872B53" w:rsidRPr="00F47DAB" w:rsidRDefault="00872B53" w:rsidP="007D1D15">
      <w:pPr>
        <w:ind w:firstLine="720"/>
        <w:jc w:val="both"/>
        <w:rPr>
          <w:rFonts w:ascii="Calibri" w:hAnsi="Calibri"/>
          <w:color w:val="000000"/>
        </w:rPr>
      </w:pPr>
      <w:r w:rsidRPr="00F47DAB">
        <w:rPr>
          <w:rFonts w:ascii="Calibri" w:hAnsi="Calibri"/>
          <w:bCs/>
          <w:color w:val="000000"/>
        </w:rPr>
        <w:t>Уточним, о каких пенсионных накоплениях</w:t>
      </w:r>
      <w:r w:rsidRPr="00F47DAB">
        <w:rPr>
          <w:rFonts w:ascii="Calibri" w:hAnsi="Calibri"/>
          <w:color w:val="000000"/>
        </w:rPr>
        <w:t xml:space="preserve"> идет речь. Это средства, которые формировались на лицевых счетах следующих категорий граждан:</w:t>
      </w:r>
    </w:p>
    <w:p w:rsidR="00872B53" w:rsidRPr="00F47DAB" w:rsidRDefault="00872B53" w:rsidP="007D1D15">
      <w:pPr>
        <w:ind w:firstLine="720"/>
        <w:jc w:val="both"/>
        <w:rPr>
          <w:rFonts w:ascii="Calibri" w:hAnsi="Calibri"/>
          <w:color w:val="000000"/>
        </w:rPr>
      </w:pPr>
      <w:r w:rsidRPr="00F47DAB">
        <w:rPr>
          <w:rFonts w:ascii="Calibri" w:hAnsi="Calibri"/>
          <w:color w:val="000000"/>
        </w:rPr>
        <w:t>-  работающих граждан 1967 года рождения и моложе, за которых работодатель с 2002 до 2014 года уплачивал  страховые взносы на накопительную пенсию*(с 2014 года все вновь поступающие страховые взносы направляются на страховую пенсию).</w:t>
      </w:r>
    </w:p>
    <w:p w:rsidR="00872B53" w:rsidRPr="00F47DAB" w:rsidRDefault="00872B53" w:rsidP="007D1D15">
      <w:pPr>
        <w:ind w:firstLine="709"/>
        <w:jc w:val="both"/>
        <w:rPr>
          <w:rFonts w:ascii="Calibri" w:hAnsi="Calibri"/>
          <w:color w:val="000000"/>
        </w:rPr>
      </w:pPr>
      <w:r w:rsidRPr="00F47DAB">
        <w:rPr>
          <w:rFonts w:ascii="Calibri" w:hAnsi="Calibri"/>
          <w:color w:val="000000"/>
        </w:rPr>
        <w:t>- мужчин 1953-1966 годо</w:t>
      </w:r>
      <w:bookmarkStart w:id="0" w:name="_GoBack"/>
      <w:bookmarkEnd w:id="0"/>
      <w:r w:rsidRPr="00F47DAB">
        <w:rPr>
          <w:rFonts w:ascii="Calibri" w:hAnsi="Calibri"/>
          <w:color w:val="000000"/>
        </w:rPr>
        <w:t>в рождения и женщин 1957-1966 годов рождения, осуществлявших трудовую деятельность  в 2002-2004 годах;</w:t>
      </w:r>
    </w:p>
    <w:p w:rsidR="00872B53" w:rsidRPr="00F47DAB" w:rsidRDefault="00872B53" w:rsidP="007D1D15">
      <w:pPr>
        <w:ind w:firstLine="709"/>
        <w:jc w:val="both"/>
        <w:rPr>
          <w:rFonts w:ascii="Calibri" w:hAnsi="Calibri"/>
          <w:color w:val="000000"/>
        </w:rPr>
      </w:pPr>
      <w:r w:rsidRPr="00F47DAB">
        <w:rPr>
          <w:rFonts w:ascii="Calibri" w:hAnsi="Calibri"/>
          <w:color w:val="000000"/>
        </w:rPr>
        <w:t>-   участников Программы государственного софинансирования пенсий;</w:t>
      </w:r>
    </w:p>
    <w:p w:rsidR="00872B53" w:rsidRPr="00F47DAB" w:rsidRDefault="00872B53" w:rsidP="007D1D15">
      <w:pPr>
        <w:ind w:firstLine="709"/>
        <w:jc w:val="both"/>
        <w:rPr>
          <w:rFonts w:ascii="Calibri" w:hAnsi="Calibri"/>
          <w:color w:val="000000"/>
        </w:rPr>
      </w:pPr>
      <w:r w:rsidRPr="00F47DAB">
        <w:rPr>
          <w:rFonts w:ascii="Calibri" w:hAnsi="Calibri"/>
          <w:color w:val="000000"/>
        </w:rPr>
        <w:t xml:space="preserve">- владельцев материнского (семейного) капитала, направивших его на будущую накопительную пенсию. </w:t>
      </w:r>
    </w:p>
    <w:p w:rsidR="00872B53" w:rsidRPr="00F47DAB" w:rsidRDefault="00872B53" w:rsidP="007D1D15">
      <w:pPr>
        <w:ind w:firstLine="709"/>
        <w:jc w:val="both"/>
        <w:rPr>
          <w:rFonts w:ascii="Calibri" w:hAnsi="Calibri"/>
          <w:color w:val="000000"/>
        </w:rPr>
      </w:pPr>
      <w:r w:rsidRPr="00F47DAB">
        <w:rPr>
          <w:rFonts w:ascii="Calibri" w:hAnsi="Calibri"/>
          <w:color w:val="000000"/>
        </w:rPr>
        <w:t>Напомним, при жизни гражданин  может определить правопреемников своих средств пенсионных накоплений и то, в каких долях эти средства  будут распределяться  между ними</w:t>
      </w:r>
      <w:r>
        <w:rPr>
          <w:rFonts w:ascii="Calibri" w:hAnsi="Calibri"/>
          <w:color w:val="000000"/>
        </w:rPr>
        <w:t>, путем подачи соответствующего заявления</w:t>
      </w:r>
      <w:r w:rsidRPr="00F47DAB">
        <w:rPr>
          <w:rFonts w:ascii="Calibri" w:hAnsi="Calibri"/>
          <w:color w:val="000000"/>
        </w:rPr>
        <w:t xml:space="preserve">. </w:t>
      </w:r>
    </w:p>
    <w:p w:rsidR="00872B53" w:rsidRPr="00F47DAB" w:rsidRDefault="00872B53" w:rsidP="007D1D15">
      <w:pPr>
        <w:ind w:firstLine="709"/>
        <w:jc w:val="both"/>
        <w:rPr>
          <w:rFonts w:ascii="Calibri" w:hAnsi="Calibri"/>
          <w:color w:val="000000"/>
        </w:rPr>
      </w:pPr>
      <w:r w:rsidRPr="00F47DAB">
        <w:rPr>
          <w:rFonts w:ascii="Calibri" w:hAnsi="Calibri"/>
          <w:color w:val="000000"/>
        </w:rPr>
        <w:t xml:space="preserve">Если такого заявления гражданин не оставил, то после его смерти правопреемниками считаются родственники: в первую очередь - супруг, дети и родители; во вторую очередь – братья, сестры, дедушки, бабушки и внуки. </w:t>
      </w:r>
    </w:p>
    <w:p w:rsidR="00872B53" w:rsidRPr="00F47DAB" w:rsidRDefault="00872B53" w:rsidP="007D1D15">
      <w:pPr>
        <w:ind w:firstLine="709"/>
        <w:jc w:val="both"/>
        <w:rPr>
          <w:rFonts w:ascii="Calibri" w:hAnsi="Calibri"/>
          <w:color w:val="000000"/>
        </w:rPr>
      </w:pPr>
      <w:r w:rsidRPr="00F47DAB">
        <w:rPr>
          <w:rFonts w:ascii="Calibri" w:hAnsi="Calibri"/>
        </w:rPr>
        <w:t xml:space="preserve">Выплата правопреемникам может быть установлена, если смерть гражданина наступила </w:t>
      </w:r>
      <w:r w:rsidRPr="00F47DAB">
        <w:rPr>
          <w:rStyle w:val="Strong"/>
          <w:rFonts w:ascii="Calibri" w:hAnsi="Calibri"/>
          <w:b w:val="0"/>
          <w:bCs/>
        </w:rPr>
        <w:t>до назначения</w:t>
      </w:r>
      <w:r w:rsidRPr="00F47DAB">
        <w:rPr>
          <w:rFonts w:ascii="Calibri" w:hAnsi="Calibri"/>
        </w:rPr>
        <w:t xml:space="preserve"> ему выплаты за счет средств пенсионных накоплений.</w:t>
      </w:r>
    </w:p>
    <w:p w:rsidR="00872B53" w:rsidRPr="00F47DAB" w:rsidRDefault="00872B53" w:rsidP="007D1D15">
      <w:pPr>
        <w:ind w:firstLine="709"/>
        <w:jc w:val="both"/>
        <w:rPr>
          <w:rFonts w:ascii="Calibri" w:hAnsi="Calibri"/>
        </w:rPr>
      </w:pPr>
      <w:r w:rsidRPr="00F47DAB">
        <w:rPr>
          <w:rFonts w:ascii="Calibri" w:hAnsi="Calibri"/>
          <w:color w:val="000000"/>
        </w:rPr>
        <w:t xml:space="preserve">В случае если гражданину  была установлена </w:t>
      </w:r>
      <w:r w:rsidRPr="00F47DAB">
        <w:rPr>
          <w:rFonts w:ascii="Calibri" w:hAnsi="Calibri"/>
        </w:rPr>
        <w:t>срочная пенсионная выплата, то правопреемники вправе получить невыплаченный остаток средств пенсионных накоплений (за исключением средств материнского (семейного) капитала, направленных на формирование будущей пенсии). При этом если гражданину была установлена выплата накопительной пенсии (бессрочно), в случае его смерти средства пенсионных накоплений правопреемникам не выплачиваются.</w:t>
      </w:r>
    </w:p>
    <w:p w:rsidR="00872B53" w:rsidRPr="00F47DAB" w:rsidRDefault="00872B53" w:rsidP="007D1D15">
      <w:pPr>
        <w:ind w:firstLine="709"/>
        <w:jc w:val="both"/>
        <w:rPr>
          <w:rFonts w:ascii="Calibri" w:hAnsi="Calibri"/>
          <w:color w:val="000000"/>
        </w:rPr>
      </w:pPr>
      <w:r w:rsidRPr="00F47DAB">
        <w:rPr>
          <w:rFonts w:ascii="Calibri" w:hAnsi="Calibri"/>
          <w:color w:val="000000"/>
        </w:rPr>
        <w:t>Заявление на выплату средств пенсионных накоплений правопреемники подают в Пенсионный фонд Российской Федерации или негосударственный пенсионный фонд – в зависимости от того, где формировались средства пенсионных накоплений человека на дату его смерти.</w:t>
      </w:r>
    </w:p>
    <w:p w:rsidR="00872B53" w:rsidRPr="00F47DAB" w:rsidRDefault="00872B53" w:rsidP="007D1D15">
      <w:pPr>
        <w:ind w:firstLine="709"/>
        <w:jc w:val="both"/>
        <w:rPr>
          <w:rFonts w:ascii="Calibri" w:hAnsi="Calibri"/>
        </w:rPr>
      </w:pPr>
      <w:r w:rsidRPr="00F47DAB">
        <w:rPr>
          <w:rFonts w:ascii="Calibri" w:hAnsi="Calibri"/>
          <w:color w:val="000000"/>
        </w:rPr>
        <w:t xml:space="preserve">За выплатой важно обратиться до истечения 6 месяцев со дня смерти, в случае если срок пропущен -  </w:t>
      </w:r>
      <w:r w:rsidRPr="00F47DAB">
        <w:rPr>
          <w:rFonts w:ascii="Calibri" w:hAnsi="Calibri"/>
        </w:rPr>
        <w:t>его можно восстановить только в судебном порядке.</w:t>
      </w:r>
    </w:p>
    <w:p w:rsidR="00872B53" w:rsidRDefault="00872B53" w:rsidP="007D1D15">
      <w:pPr>
        <w:ind w:firstLine="709"/>
        <w:jc w:val="both"/>
        <w:rPr>
          <w:rFonts w:ascii="Calibri" w:hAnsi="Calibri"/>
        </w:rPr>
      </w:pPr>
      <w:r w:rsidRPr="00F47DAB">
        <w:rPr>
          <w:rFonts w:ascii="Calibri" w:hAnsi="Calibri"/>
        </w:rPr>
        <w:t>Решение о выплате принимается в течение седьмого месяца со дня смерти гражданина.</w:t>
      </w:r>
    </w:p>
    <w:p w:rsidR="00872B53" w:rsidRPr="007D1D15" w:rsidRDefault="00872B53" w:rsidP="007D1D15">
      <w:pPr>
        <w:ind w:firstLine="709"/>
        <w:jc w:val="both"/>
        <w:rPr>
          <w:rFonts w:ascii="Calibri" w:hAnsi="Calibri"/>
        </w:rPr>
      </w:pPr>
      <w:r w:rsidRPr="00F47DAB">
        <w:rPr>
          <w:rFonts w:ascii="Calibri" w:hAnsi="Calibri"/>
        </w:rPr>
        <w:t xml:space="preserve">Выплата правопреемникам умершего застрахованного лица средств пенсионных накоплений осуществляется не позднее 20 числа месяца, следующего за месяцем принятия решения о выплате. </w:t>
      </w:r>
    </w:p>
    <w:p w:rsidR="00872B53" w:rsidRDefault="00872B53" w:rsidP="00603A8E">
      <w:pPr>
        <w:pStyle w:val="NoSpacing"/>
        <w:jc w:val="right"/>
        <w:rPr>
          <w:b/>
          <w:bCs/>
          <w:sz w:val="36"/>
          <w:szCs w:val="36"/>
        </w:rPr>
      </w:pPr>
      <w:r>
        <w:rPr>
          <w:b/>
          <w:bCs/>
          <w:sz w:val="36"/>
          <w:szCs w:val="36"/>
        </w:rPr>
        <w:t xml:space="preserve">  </w:t>
      </w:r>
    </w:p>
    <w:p w:rsidR="00872B53" w:rsidRPr="000D7D1C" w:rsidRDefault="00872B53" w:rsidP="00603A8E">
      <w:pPr>
        <w:pStyle w:val="NoSpacing"/>
        <w:jc w:val="right"/>
      </w:pPr>
      <w:r>
        <w:t>П</w:t>
      </w:r>
      <w:r w:rsidRPr="000D7D1C">
        <w:t>ресс-служб</w:t>
      </w:r>
      <w:r>
        <w:t>а</w:t>
      </w:r>
      <w:r w:rsidRPr="000D7D1C">
        <w:t xml:space="preserve"> Отделения ПФР</w:t>
      </w:r>
    </w:p>
    <w:p w:rsidR="00872B53" w:rsidRDefault="00872B53" w:rsidP="00603A8E">
      <w:pPr>
        <w:pStyle w:val="NoSpacing"/>
        <w:jc w:val="right"/>
      </w:pPr>
      <w:r w:rsidRPr="000D7D1C">
        <w:t xml:space="preserve"> по Приморскому краю</w:t>
      </w:r>
    </w:p>
    <w:p w:rsidR="00872B53" w:rsidRPr="007D1D15" w:rsidRDefault="00872B53" w:rsidP="007D1D15">
      <w:pPr>
        <w:pStyle w:val="NoSpacing"/>
        <w:jc w:val="right"/>
      </w:pPr>
      <w:r w:rsidRPr="00AD5EA0">
        <w:rPr>
          <w:lang w:val="en-US"/>
        </w:rPr>
        <w:t>e</w:t>
      </w:r>
      <w:r w:rsidRPr="00AD5EA0">
        <w:t>-</w:t>
      </w:r>
      <w:r w:rsidRPr="00AD5EA0">
        <w:rPr>
          <w:lang w:val="en-US"/>
        </w:rPr>
        <w:t>mail</w:t>
      </w:r>
      <w:r w:rsidRPr="00AD5EA0">
        <w:t xml:space="preserve">: </w:t>
      </w:r>
      <w:hyperlink r:id="rId5" w:history="1">
        <w:r w:rsidRPr="00855061">
          <w:rPr>
            <w:rStyle w:val="Hyperlink"/>
          </w:rPr>
          <w:t>2901@035.</w:t>
        </w:r>
        <w:r w:rsidRPr="00855061">
          <w:rPr>
            <w:rStyle w:val="Hyperlink"/>
            <w:lang w:val="en-US"/>
          </w:rPr>
          <w:t>pfr</w:t>
        </w:r>
        <w:r w:rsidRPr="00855061">
          <w:rPr>
            <w:rStyle w:val="Hyperlink"/>
          </w:rPr>
          <w:t>.</w:t>
        </w:r>
        <w:r w:rsidRPr="00855061">
          <w:rPr>
            <w:rStyle w:val="Hyperlink"/>
            <w:lang w:val="en-US"/>
          </w:rPr>
          <w:t>gov</w:t>
        </w:r>
        <w:r w:rsidRPr="00072ACE">
          <w:rPr>
            <w:rStyle w:val="Hyperlink"/>
          </w:rPr>
          <w:t>.</w:t>
        </w:r>
        <w:r w:rsidRPr="00855061">
          <w:rPr>
            <w:rStyle w:val="Hyperlink"/>
            <w:lang w:val="en-US"/>
          </w:rPr>
          <w:t>ru</w:t>
        </w:r>
      </w:hyperlink>
    </w:p>
    <w:p w:rsidR="00872B53" w:rsidRPr="00843F35" w:rsidRDefault="00872B53" w:rsidP="00DD2EB9">
      <w:pPr>
        <w:pStyle w:val="NoSpacing"/>
        <w:rPr>
          <w:b/>
          <w:bCs/>
          <w:sz w:val="24"/>
          <w:szCs w:val="24"/>
        </w:rPr>
      </w:pPr>
    </w:p>
    <w:sectPr w:rsidR="00872B53" w:rsidRPr="00843F35" w:rsidSect="007D1D15">
      <w:pgSz w:w="11906" w:h="16838"/>
      <w:pgMar w:top="142" w:right="849"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D60EB"/>
    <w:multiLevelType w:val="multilevel"/>
    <w:tmpl w:val="AE4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A4620"/>
    <w:multiLevelType w:val="multilevel"/>
    <w:tmpl w:val="0FA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D60"/>
    <w:rsid w:val="00036A2F"/>
    <w:rsid w:val="00041267"/>
    <w:rsid w:val="00072ACE"/>
    <w:rsid w:val="00074583"/>
    <w:rsid w:val="00083862"/>
    <w:rsid w:val="000B5097"/>
    <w:rsid w:val="000D7D1C"/>
    <w:rsid w:val="00111FDB"/>
    <w:rsid w:val="00116D60"/>
    <w:rsid w:val="0012003A"/>
    <w:rsid w:val="001C51B8"/>
    <w:rsid w:val="001D4614"/>
    <w:rsid w:val="00204E62"/>
    <w:rsid w:val="00214989"/>
    <w:rsid w:val="002227A1"/>
    <w:rsid w:val="00227247"/>
    <w:rsid w:val="003076D2"/>
    <w:rsid w:val="003360DF"/>
    <w:rsid w:val="003539E9"/>
    <w:rsid w:val="003767E7"/>
    <w:rsid w:val="003A5A6B"/>
    <w:rsid w:val="003B37C9"/>
    <w:rsid w:val="003B53DA"/>
    <w:rsid w:val="003E2AE2"/>
    <w:rsid w:val="00465792"/>
    <w:rsid w:val="004B3F9D"/>
    <w:rsid w:val="00535D0E"/>
    <w:rsid w:val="005378DC"/>
    <w:rsid w:val="005A3BDE"/>
    <w:rsid w:val="005B340E"/>
    <w:rsid w:val="005E59BB"/>
    <w:rsid w:val="005F576B"/>
    <w:rsid w:val="00603A8E"/>
    <w:rsid w:val="00634DE9"/>
    <w:rsid w:val="00665055"/>
    <w:rsid w:val="006871F0"/>
    <w:rsid w:val="006D2136"/>
    <w:rsid w:val="007225EC"/>
    <w:rsid w:val="00734BF5"/>
    <w:rsid w:val="007365C5"/>
    <w:rsid w:val="0076562F"/>
    <w:rsid w:val="00771EEC"/>
    <w:rsid w:val="007D1D15"/>
    <w:rsid w:val="007E6B69"/>
    <w:rsid w:val="008020CB"/>
    <w:rsid w:val="0083088B"/>
    <w:rsid w:val="00843F35"/>
    <w:rsid w:val="00855061"/>
    <w:rsid w:val="00855FA7"/>
    <w:rsid w:val="00872B53"/>
    <w:rsid w:val="00886964"/>
    <w:rsid w:val="008D26CA"/>
    <w:rsid w:val="008E71FC"/>
    <w:rsid w:val="009450C0"/>
    <w:rsid w:val="009E758B"/>
    <w:rsid w:val="00A14E41"/>
    <w:rsid w:val="00A5679D"/>
    <w:rsid w:val="00A64F15"/>
    <w:rsid w:val="00A66C67"/>
    <w:rsid w:val="00A962FB"/>
    <w:rsid w:val="00AB6A9F"/>
    <w:rsid w:val="00AD5EA0"/>
    <w:rsid w:val="00AF0DB0"/>
    <w:rsid w:val="00B133D8"/>
    <w:rsid w:val="00BE30F3"/>
    <w:rsid w:val="00C05D0B"/>
    <w:rsid w:val="00C229E5"/>
    <w:rsid w:val="00C23157"/>
    <w:rsid w:val="00C4048D"/>
    <w:rsid w:val="00C573E1"/>
    <w:rsid w:val="00C87E8D"/>
    <w:rsid w:val="00CB1EA0"/>
    <w:rsid w:val="00CB4673"/>
    <w:rsid w:val="00CE6763"/>
    <w:rsid w:val="00CF7F27"/>
    <w:rsid w:val="00D065D0"/>
    <w:rsid w:val="00D30257"/>
    <w:rsid w:val="00DA2E81"/>
    <w:rsid w:val="00DB5556"/>
    <w:rsid w:val="00DD0286"/>
    <w:rsid w:val="00DD2EB9"/>
    <w:rsid w:val="00E34480"/>
    <w:rsid w:val="00E36A35"/>
    <w:rsid w:val="00E51F63"/>
    <w:rsid w:val="00E57842"/>
    <w:rsid w:val="00E8088B"/>
    <w:rsid w:val="00EB4A63"/>
    <w:rsid w:val="00ED2D86"/>
    <w:rsid w:val="00F10FA8"/>
    <w:rsid w:val="00F1196D"/>
    <w:rsid w:val="00F47DAB"/>
    <w:rsid w:val="00F921B2"/>
    <w:rsid w:val="00FB4C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55"/>
    <w:rPr>
      <w:sz w:val="24"/>
      <w:szCs w:val="24"/>
    </w:rPr>
  </w:style>
  <w:style w:type="paragraph" w:styleId="Heading1">
    <w:name w:val="heading 1"/>
    <w:basedOn w:val="Normal"/>
    <w:link w:val="Heading1Char"/>
    <w:uiPriority w:val="99"/>
    <w:qFormat/>
    <w:rsid w:val="00111FD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FDB"/>
    <w:rPr>
      <w:b/>
      <w:kern w:val="36"/>
      <w:sz w:val="48"/>
    </w:rPr>
  </w:style>
  <w:style w:type="paragraph" w:styleId="BalloonText">
    <w:name w:val="Balloon Text"/>
    <w:basedOn w:val="Normal"/>
    <w:link w:val="BalloonTextChar"/>
    <w:uiPriority w:val="99"/>
    <w:semiHidden/>
    <w:rsid w:val="00665055"/>
    <w:rPr>
      <w:rFonts w:ascii="Tahoma" w:hAnsi="Tahoma" w:cs="Tahoma"/>
      <w:sz w:val="16"/>
      <w:szCs w:val="16"/>
    </w:rPr>
  </w:style>
  <w:style w:type="character" w:customStyle="1" w:styleId="BalloonTextChar">
    <w:name w:val="Balloon Text Char"/>
    <w:basedOn w:val="DefaultParagraphFont"/>
    <w:link w:val="BalloonText"/>
    <w:uiPriority w:val="99"/>
    <w:semiHidden/>
    <w:rsid w:val="00A84A3B"/>
    <w:rPr>
      <w:sz w:val="0"/>
      <w:szCs w:val="0"/>
    </w:rPr>
  </w:style>
  <w:style w:type="paragraph" w:styleId="NormalWeb">
    <w:name w:val="Normal (Web)"/>
    <w:basedOn w:val="Normal"/>
    <w:uiPriority w:val="99"/>
    <w:rsid w:val="001C51B8"/>
    <w:pPr>
      <w:spacing w:before="100" w:beforeAutospacing="1" w:after="100" w:afterAutospacing="1"/>
    </w:pPr>
  </w:style>
  <w:style w:type="character" w:styleId="Strong">
    <w:name w:val="Strong"/>
    <w:basedOn w:val="DefaultParagraphFont"/>
    <w:uiPriority w:val="99"/>
    <w:qFormat/>
    <w:rsid w:val="001C51B8"/>
    <w:rPr>
      <w:rFonts w:cs="Times New Roman"/>
      <w:b/>
    </w:rPr>
  </w:style>
  <w:style w:type="character" w:styleId="Hyperlink">
    <w:name w:val="Hyperlink"/>
    <w:basedOn w:val="DefaultParagraphFont"/>
    <w:uiPriority w:val="99"/>
    <w:rsid w:val="001C51B8"/>
    <w:rPr>
      <w:rFonts w:cs="Times New Roman"/>
      <w:color w:val="0000FF"/>
      <w:u w:val="single"/>
    </w:rPr>
  </w:style>
  <w:style w:type="paragraph" w:styleId="NoSpacing">
    <w:name w:val="No Spacing"/>
    <w:uiPriority w:val="99"/>
    <w:qFormat/>
    <w:rsid w:val="00DD2EB9"/>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55526552">
      <w:marLeft w:val="0"/>
      <w:marRight w:val="0"/>
      <w:marTop w:val="0"/>
      <w:marBottom w:val="0"/>
      <w:divBdr>
        <w:top w:val="none" w:sz="0" w:space="0" w:color="auto"/>
        <w:left w:val="none" w:sz="0" w:space="0" w:color="auto"/>
        <w:bottom w:val="none" w:sz="0" w:space="0" w:color="auto"/>
        <w:right w:val="none" w:sz="0" w:space="0" w:color="auto"/>
      </w:divBdr>
    </w:div>
    <w:div w:id="255526553">
      <w:marLeft w:val="0"/>
      <w:marRight w:val="0"/>
      <w:marTop w:val="0"/>
      <w:marBottom w:val="0"/>
      <w:divBdr>
        <w:top w:val="none" w:sz="0" w:space="0" w:color="auto"/>
        <w:left w:val="none" w:sz="0" w:space="0" w:color="auto"/>
        <w:bottom w:val="none" w:sz="0" w:space="0" w:color="auto"/>
        <w:right w:val="none" w:sz="0" w:space="0" w:color="auto"/>
      </w:divBdr>
    </w:div>
    <w:div w:id="255526554">
      <w:marLeft w:val="0"/>
      <w:marRight w:val="0"/>
      <w:marTop w:val="0"/>
      <w:marBottom w:val="0"/>
      <w:divBdr>
        <w:top w:val="none" w:sz="0" w:space="0" w:color="auto"/>
        <w:left w:val="none" w:sz="0" w:space="0" w:color="auto"/>
        <w:bottom w:val="none" w:sz="0" w:space="0" w:color="auto"/>
        <w:right w:val="none" w:sz="0" w:space="0" w:color="auto"/>
      </w:divBdr>
    </w:div>
    <w:div w:id="255526555">
      <w:marLeft w:val="0"/>
      <w:marRight w:val="0"/>
      <w:marTop w:val="0"/>
      <w:marBottom w:val="0"/>
      <w:divBdr>
        <w:top w:val="none" w:sz="0" w:space="0" w:color="auto"/>
        <w:left w:val="none" w:sz="0" w:space="0" w:color="auto"/>
        <w:bottom w:val="none" w:sz="0" w:space="0" w:color="auto"/>
        <w:right w:val="none" w:sz="0" w:space="0" w:color="auto"/>
      </w:divBdr>
    </w:div>
    <w:div w:id="255526556">
      <w:marLeft w:val="0"/>
      <w:marRight w:val="0"/>
      <w:marTop w:val="0"/>
      <w:marBottom w:val="0"/>
      <w:divBdr>
        <w:top w:val="none" w:sz="0" w:space="0" w:color="auto"/>
        <w:left w:val="none" w:sz="0" w:space="0" w:color="auto"/>
        <w:bottom w:val="none" w:sz="0" w:space="0" w:color="auto"/>
        <w:right w:val="none" w:sz="0" w:space="0" w:color="auto"/>
      </w:divBdr>
    </w:div>
    <w:div w:id="255526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901@035.pfr.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TotalTime>
  <Pages>1</Pages>
  <Words>415</Words>
  <Characters>2369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subject/>
  <dc:creator>14051</dc:creator>
  <cp:keywords/>
  <dc:description/>
  <cp:lastModifiedBy>1</cp:lastModifiedBy>
  <cp:revision>16</cp:revision>
  <cp:lastPrinted>2022-08-16T00:19:00Z</cp:lastPrinted>
  <dcterms:created xsi:type="dcterms:W3CDTF">2022-08-10T01:46:00Z</dcterms:created>
  <dcterms:modified xsi:type="dcterms:W3CDTF">2022-08-18T05:28:00Z</dcterms:modified>
</cp:coreProperties>
</file>