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8163"/>
      </w:tblGrid>
      <w:tr w:rsidR="008868CA" w:rsidRPr="00DD0286" w:rsidTr="00A85079">
        <w:trPr>
          <w:trHeight w:val="1519"/>
        </w:trPr>
        <w:tc>
          <w:tcPr>
            <w:tcW w:w="1474" w:type="dxa"/>
          </w:tcPr>
          <w:p w:rsidR="008868CA" w:rsidRPr="00DD0286" w:rsidRDefault="008868CA" w:rsidP="00A8507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8868CA" w:rsidRPr="00C815D4" w:rsidRDefault="008868CA" w:rsidP="00C815D4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</w:t>
            </w:r>
            <w:r w:rsidR="00C815D4">
              <w:rPr>
                <w:b/>
                <w:i/>
              </w:rPr>
              <w:t>ННЫЙ ФОНД РОССИЙСКОЙ  ФЕДЕРАЦИИ</w:t>
            </w: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8868CA" w:rsidRPr="005B340E" w:rsidTr="00A85079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8CA" w:rsidRPr="005B340E" w:rsidRDefault="008868CA" w:rsidP="00C815D4">
                  <w:pPr>
                    <w:spacing w:after="0"/>
                    <w:ind w:right="923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ОТДЕЛЕНИЕ ПЕНСИОННОГО ФОНДА</w:t>
                  </w:r>
                </w:p>
                <w:p w:rsidR="008868CA" w:rsidRPr="005B340E" w:rsidRDefault="008868CA" w:rsidP="00C815D4">
                  <w:pPr>
                    <w:spacing w:after="0"/>
                    <w:ind w:left="-665"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8868CA" w:rsidRPr="005B340E" w:rsidRDefault="008868CA" w:rsidP="00C815D4">
                  <w:pPr>
                    <w:spacing w:after="0"/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8868CA" w:rsidRPr="00AD5EA0" w:rsidRDefault="008868CA" w:rsidP="00A85079">
            <w:pPr>
              <w:spacing w:before="100" w:beforeAutospacing="1" w:after="100" w:afterAutospacing="1"/>
              <w:outlineLvl w:val="2"/>
              <w:rPr>
                <w:rFonts w:ascii="Calibri" w:hAnsi="Calibri"/>
              </w:rPr>
            </w:pPr>
          </w:p>
        </w:tc>
      </w:tr>
    </w:tbl>
    <w:p w:rsidR="008868CA" w:rsidRDefault="008868CA" w:rsidP="008868CA">
      <w:pPr>
        <w:pStyle w:val="a5"/>
        <w:jc w:val="right"/>
        <w:rPr>
          <w:b/>
          <w:bCs/>
          <w:sz w:val="36"/>
          <w:szCs w:val="36"/>
        </w:rPr>
      </w:pPr>
    </w:p>
    <w:p w:rsidR="00CC30B2" w:rsidRPr="00AD3597" w:rsidRDefault="00881907" w:rsidP="00CC30B2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До 31 октября еще можно подать заявление на получение единовременной «школьной» выплаты  </w:t>
      </w:r>
    </w:p>
    <w:p w:rsidR="00E877B4" w:rsidRPr="00E877B4" w:rsidRDefault="00CC30B2" w:rsidP="00D3703C">
      <w:pPr>
        <w:rPr>
          <w:b/>
          <w:sz w:val="28"/>
        </w:rPr>
      </w:pPr>
      <w:r>
        <w:rPr>
          <w:b/>
          <w:sz w:val="28"/>
        </w:rPr>
        <w:t xml:space="preserve">20 </w:t>
      </w:r>
      <w:r w:rsidR="00D3703C">
        <w:rPr>
          <w:b/>
          <w:sz w:val="28"/>
        </w:rPr>
        <w:t>октября 2021</w:t>
      </w:r>
      <w:r w:rsidR="00D3703C" w:rsidRPr="002D39B6">
        <w:rPr>
          <w:b/>
          <w:sz w:val="28"/>
        </w:rPr>
        <w:t xml:space="preserve"> г. Владивосток</w:t>
      </w:r>
    </w:p>
    <w:p w:rsidR="00CC30B2" w:rsidRPr="00CC30B2" w:rsidRDefault="00CC30B2" w:rsidP="00CC30B2">
      <w:pPr>
        <w:pStyle w:val="1"/>
        <w:jc w:val="both"/>
        <w:rPr>
          <w:rFonts w:asciiTheme="minorHAnsi" w:hAnsiTheme="minorHAnsi"/>
          <w:b w:val="0"/>
          <w:sz w:val="28"/>
          <w:szCs w:val="28"/>
        </w:rPr>
      </w:pPr>
      <w:r w:rsidRPr="00CC30B2">
        <w:rPr>
          <w:rFonts w:asciiTheme="minorHAnsi" w:hAnsiTheme="minorHAnsi"/>
          <w:b w:val="0"/>
          <w:sz w:val="28"/>
          <w:szCs w:val="28"/>
        </w:rPr>
        <w:t>31 октября 2021 года — последний день подачи заявлений на «школьную» выплату в размере 10 тысяч рублей. Отделение ПФР по Приморскому краю принимает заявл</w:t>
      </w:r>
      <w:r w:rsidR="004B39EC">
        <w:rPr>
          <w:rFonts w:asciiTheme="minorHAnsi" w:hAnsiTheme="minorHAnsi"/>
          <w:b w:val="0"/>
          <w:sz w:val="28"/>
          <w:szCs w:val="28"/>
        </w:rPr>
        <w:t>ения на единовременную выплату</w:t>
      </w:r>
      <w:r w:rsidRPr="00CC30B2">
        <w:rPr>
          <w:rFonts w:asciiTheme="minorHAnsi" w:hAnsiTheme="minorHAnsi"/>
          <w:b w:val="0"/>
          <w:sz w:val="28"/>
          <w:szCs w:val="28"/>
        </w:rPr>
        <w:t xml:space="preserve"> на детей в возрасте от 6 до 17 лет (включительно) от семей, которые еще не подавали заявление на эту выплату. Направить его можно дистанционно через портал </w:t>
      </w:r>
      <w:proofErr w:type="spellStart"/>
      <w:r w:rsidRPr="00CC30B2">
        <w:rPr>
          <w:rFonts w:asciiTheme="minorHAnsi" w:hAnsiTheme="minorHAnsi"/>
          <w:b w:val="0"/>
          <w:sz w:val="28"/>
          <w:szCs w:val="28"/>
        </w:rPr>
        <w:t>госуслуг</w:t>
      </w:r>
      <w:proofErr w:type="spellEnd"/>
      <w:r w:rsidRPr="00CC30B2">
        <w:rPr>
          <w:rFonts w:asciiTheme="minorHAnsi" w:hAnsiTheme="minorHAnsi"/>
          <w:b w:val="0"/>
          <w:sz w:val="28"/>
          <w:szCs w:val="28"/>
        </w:rPr>
        <w:t xml:space="preserve"> или подать лично в клиентской службе ПФР. </w:t>
      </w:r>
    </w:p>
    <w:p w:rsidR="00CC30B2" w:rsidRPr="00CC30B2" w:rsidRDefault="00FB29B5" w:rsidP="00CC30B2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Напомним</w:t>
      </w:r>
      <w:r w:rsidR="00CC30B2" w:rsidRPr="00CC30B2">
        <w:rPr>
          <w:rFonts w:asciiTheme="minorHAnsi" w:hAnsiTheme="minorHAnsi"/>
          <w:sz w:val="28"/>
          <w:szCs w:val="28"/>
        </w:rPr>
        <w:t xml:space="preserve">, единовременная выплата </w:t>
      </w:r>
      <w:r w:rsidR="00881907">
        <w:rPr>
          <w:rFonts w:asciiTheme="minorHAnsi" w:hAnsiTheme="minorHAnsi"/>
          <w:sz w:val="28"/>
          <w:szCs w:val="28"/>
        </w:rPr>
        <w:t>назначается</w:t>
      </w:r>
      <w:r w:rsidR="00CC30B2" w:rsidRPr="00CC30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также </w:t>
      </w:r>
      <w:r w:rsidR="00CC30B2" w:rsidRPr="00CC30B2">
        <w:rPr>
          <w:rFonts w:asciiTheme="minorHAnsi" w:hAnsiTheme="minorHAnsi"/>
          <w:sz w:val="28"/>
          <w:szCs w:val="28"/>
        </w:rPr>
        <w:t xml:space="preserve">инвалидам и лицам с ограниченными возможностями здоровья в возрасте от 18 до 23 лет (если они продолжают </w:t>
      </w:r>
      <w:proofErr w:type="gramStart"/>
      <w:r w:rsidR="00CC30B2" w:rsidRPr="00CC30B2">
        <w:rPr>
          <w:rFonts w:asciiTheme="minorHAnsi" w:hAnsiTheme="minorHAnsi"/>
          <w:sz w:val="28"/>
          <w:szCs w:val="28"/>
        </w:rPr>
        <w:t>обучение</w:t>
      </w:r>
      <w:proofErr w:type="gramEnd"/>
      <w:r w:rsidR="00CC30B2" w:rsidRPr="00CC30B2">
        <w:rPr>
          <w:rFonts w:asciiTheme="minorHAnsi" w:hAnsiTheme="minorHAnsi"/>
          <w:sz w:val="28"/>
          <w:szCs w:val="28"/>
        </w:rPr>
        <w:t xml:space="preserve"> по основным общеобразовательным программам), являющимися гражданами РФ, постоянно проживающими на территории Российской Федерации, либо одному из их родителей (законных представителей). Факт их обучения </w:t>
      </w:r>
      <w:r w:rsidR="00881907">
        <w:rPr>
          <w:rFonts w:asciiTheme="minorHAnsi" w:hAnsiTheme="minorHAnsi"/>
          <w:sz w:val="28"/>
          <w:szCs w:val="28"/>
        </w:rPr>
        <w:t>определяется</w:t>
      </w:r>
      <w:r w:rsidR="00CC30B2" w:rsidRPr="00CC30B2">
        <w:rPr>
          <w:rFonts w:asciiTheme="minorHAnsi" w:hAnsiTheme="minorHAnsi"/>
          <w:sz w:val="28"/>
          <w:szCs w:val="28"/>
        </w:rPr>
        <w:t xml:space="preserve"> на основании сведений Министерства просвещения Российской Федерации.</w:t>
      </w:r>
    </w:p>
    <w:p w:rsidR="00CC30B2" w:rsidRDefault="00CC30B2" w:rsidP="00CC30B2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C30B2">
        <w:rPr>
          <w:rFonts w:asciiTheme="minorHAnsi" w:hAnsiTheme="minorHAnsi"/>
          <w:sz w:val="28"/>
          <w:szCs w:val="28"/>
        </w:rPr>
        <w:t>Если в семье двое и более детей соответствующего возраста, помощь пре</w:t>
      </w:r>
      <w:r>
        <w:rPr>
          <w:rFonts w:asciiTheme="minorHAnsi" w:hAnsiTheme="minorHAnsi"/>
          <w:sz w:val="28"/>
          <w:szCs w:val="28"/>
        </w:rPr>
        <w:t>доставляется на каждого ребенка.</w:t>
      </w:r>
    </w:p>
    <w:p w:rsidR="00FB29B5" w:rsidRPr="00BE4E6D" w:rsidRDefault="00FB29B5" w:rsidP="00FB29B5">
      <w:pPr>
        <w:spacing w:before="100" w:beforeAutospacing="1" w:after="100" w:afterAutospacing="1"/>
        <w:jc w:val="both"/>
        <w:outlineLvl w:val="0"/>
        <w:rPr>
          <w:bCs/>
          <w:i/>
          <w:kern w:val="36"/>
          <w:sz w:val="28"/>
          <w:szCs w:val="28"/>
        </w:rPr>
      </w:pPr>
      <w:r w:rsidRPr="004B39EC">
        <w:rPr>
          <w:i/>
          <w:sz w:val="28"/>
          <w:szCs w:val="28"/>
        </w:rPr>
        <w:t>На сегодняшний день</w:t>
      </w:r>
      <w:r>
        <w:rPr>
          <w:i/>
          <w:sz w:val="28"/>
          <w:szCs w:val="28"/>
        </w:rPr>
        <w:t xml:space="preserve"> в Приморском крае</w:t>
      </w:r>
      <w:r w:rsidRPr="004B39EC">
        <w:rPr>
          <w:i/>
          <w:sz w:val="28"/>
          <w:szCs w:val="28"/>
        </w:rPr>
        <w:t xml:space="preserve"> </w:t>
      </w:r>
      <w:r w:rsidR="00B028F1">
        <w:rPr>
          <w:bCs/>
          <w:i/>
          <w:kern w:val="36"/>
          <w:sz w:val="28"/>
          <w:szCs w:val="28"/>
        </w:rPr>
        <w:t xml:space="preserve">произведены единовременные выплаты </w:t>
      </w:r>
      <w:r>
        <w:rPr>
          <w:bCs/>
          <w:i/>
          <w:kern w:val="36"/>
          <w:sz w:val="28"/>
          <w:szCs w:val="28"/>
        </w:rPr>
        <w:t xml:space="preserve">более 256 тысячам детей школьного возраста. </w:t>
      </w:r>
    </w:p>
    <w:p w:rsidR="00FB29B5" w:rsidRPr="00CC30B2" w:rsidRDefault="00FB29B5" w:rsidP="00CC30B2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68CA" w:rsidRPr="000767C7" w:rsidRDefault="008868CA" w:rsidP="008868CA">
      <w:pPr>
        <w:pStyle w:val="a5"/>
        <w:ind w:left="708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:rsidR="00D3703C" w:rsidRDefault="008868CA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  <w:r w:rsidRPr="000767C7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D3703C" w:rsidRDefault="00D3703C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A7548" w:rsidRDefault="001A7548" w:rsidP="004D2DBC">
      <w:pPr>
        <w:pStyle w:val="a5"/>
        <w:rPr>
          <w:rFonts w:asciiTheme="minorHAnsi" w:hAnsiTheme="minorHAnsi"/>
          <w:b/>
          <w:bCs/>
          <w:sz w:val="24"/>
          <w:szCs w:val="24"/>
        </w:rPr>
      </w:pPr>
    </w:p>
    <w:p w:rsidR="001A7548" w:rsidRDefault="001A7548" w:rsidP="008868CA">
      <w:pPr>
        <w:pStyle w:val="a5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>Лидия Смыченко,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руководитель пресс-службы Отделения ПФР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>по Приморскому краю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r w:rsidRPr="000767C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тел.: (423) 2498-713 </w:t>
      </w:r>
    </w:p>
    <w:p w:rsidR="008868CA" w:rsidRPr="000767C7" w:rsidRDefault="008868CA" w:rsidP="008868CA">
      <w:pPr>
        <w:pStyle w:val="a5"/>
        <w:jc w:val="right"/>
        <w:rPr>
          <w:rFonts w:asciiTheme="minorHAnsi" w:hAnsiTheme="minorHAnsi"/>
          <w:sz w:val="24"/>
          <w:szCs w:val="24"/>
        </w:rPr>
      </w:pPr>
      <w:proofErr w:type="gramStart"/>
      <w:r w:rsidRPr="000767C7">
        <w:rPr>
          <w:rFonts w:asciiTheme="minorHAnsi" w:hAnsiTheme="minorHAnsi"/>
          <w:sz w:val="24"/>
          <w:szCs w:val="24"/>
          <w:lang w:val="en-US"/>
        </w:rPr>
        <w:t>e</w:t>
      </w:r>
      <w:r w:rsidRPr="000767C7">
        <w:rPr>
          <w:rFonts w:asciiTheme="minorHAnsi" w:hAnsiTheme="minorHAnsi"/>
          <w:sz w:val="24"/>
          <w:szCs w:val="24"/>
        </w:rPr>
        <w:t>-</w:t>
      </w:r>
      <w:r w:rsidRPr="000767C7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Pr="000767C7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2901@035.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pfr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gov</w:t>
        </w:r>
        <w:proofErr w:type="spellEnd"/>
        <w:r w:rsidR="00AA1444" w:rsidRPr="000767C7">
          <w:rPr>
            <w:rStyle w:val="a4"/>
            <w:rFonts w:asciiTheme="minorHAnsi" w:hAnsiTheme="minorHAnsi"/>
            <w:sz w:val="24"/>
            <w:szCs w:val="24"/>
          </w:rPr>
          <w:t>.</w:t>
        </w:r>
        <w:proofErr w:type="spellStart"/>
        <w:r w:rsidR="00AA1444" w:rsidRPr="000767C7">
          <w:rPr>
            <w:rStyle w:val="a4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</w:p>
    <w:p w:rsidR="00D900A3" w:rsidRPr="005A04AE" w:rsidRDefault="00D900A3" w:rsidP="00D9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0A3" w:rsidRPr="005A04AE" w:rsidSect="00A97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93"/>
    <w:multiLevelType w:val="hybridMultilevel"/>
    <w:tmpl w:val="DD02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3"/>
    <w:rsid w:val="000767C7"/>
    <w:rsid w:val="0008682F"/>
    <w:rsid w:val="000B30DC"/>
    <w:rsid w:val="000F1D7C"/>
    <w:rsid w:val="00180EAA"/>
    <w:rsid w:val="001A7548"/>
    <w:rsid w:val="001C4DC8"/>
    <w:rsid w:val="00216D60"/>
    <w:rsid w:val="00255427"/>
    <w:rsid w:val="002F509D"/>
    <w:rsid w:val="0032048F"/>
    <w:rsid w:val="00331A92"/>
    <w:rsid w:val="00382944"/>
    <w:rsid w:val="004001CF"/>
    <w:rsid w:val="004033CC"/>
    <w:rsid w:val="00437621"/>
    <w:rsid w:val="00452684"/>
    <w:rsid w:val="004A4D99"/>
    <w:rsid w:val="004B39EC"/>
    <w:rsid w:val="004D2DBC"/>
    <w:rsid w:val="00525A48"/>
    <w:rsid w:val="0053628A"/>
    <w:rsid w:val="00590FC3"/>
    <w:rsid w:val="005A04AE"/>
    <w:rsid w:val="005C08D5"/>
    <w:rsid w:val="006B7123"/>
    <w:rsid w:val="006C6074"/>
    <w:rsid w:val="006E388E"/>
    <w:rsid w:val="006E5DC3"/>
    <w:rsid w:val="00725993"/>
    <w:rsid w:val="00727D9F"/>
    <w:rsid w:val="007E6E72"/>
    <w:rsid w:val="00881907"/>
    <w:rsid w:val="008868CA"/>
    <w:rsid w:val="008C64A4"/>
    <w:rsid w:val="008C6AAB"/>
    <w:rsid w:val="00992FE7"/>
    <w:rsid w:val="00A024D5"/>
    <w:rsid w:val="00A5623D"/>
    <w:rsid w:val="00A57452"/>
    <w:rsid w:val="00A97EA2"/>
    <w:rsid w:val="00AA1444"/>
    <w:rsid w:val="00AE075A"/>
    <w:rsid w:val="00B028F1"/>
    <w:rsid w:val="00BE4E6D"/>
    <w:rsid w:val="00C31CA2"/>
    <w:rsid w:val="00C47DEB"/>
    <w:rsid w:val="00C6767D"/>
    <w:rsid w:val="00C815D4"/>
    <w:rsid w:val="00CC30B2"/>
    <w:rsid w:val="00D356E4"/>
    <w:rsid w:val="00D3703C"/>
    <w:rsid w:val="00D565A2"/>
    <w:rsid w:val="00D75FF5"/>
    <w:rsid w:val="00D900A3"/>
    <w:rsid w:val="00DF6C8B"/>
    <w:rsid w:val="00E00390"/>
    <w:rsid w:val="00E2352F"/>
    <w:rsid w:val="00E465EF"/>
    <w:rsid w:val="00E76643"/>
    <w:rsid w:val="00E877B4"/>
    <w:rsid w:val="00F1023E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901@035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Туркеева Елена Александровна</cp:lastModifiedBy>
  <cp:revision>6</cp:revision>
  <cp:lastPrinted>2021-10-20T02:01:00Z</cp:lastPrinted>
  <dcterms:created xsi:type="dcterms:W3CDTF">2021-10-20T00:54:00Z</dcterms:created>
  <dcterms:modified xsi:type="dcterms:W3CDTF">2021-10-20T02:35:00Z</dcterms:modified>
</cp:coreProperties>
</file>