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07" w:rsidRDefault="00D20907" w:rsidP="004053B9">
      <w:pPr>
        <w:spacing w:line="1" w:lineRule="exact"/>
        <w:jc w:val="center"/>
        <w:sectPr w:rsidR="00D20907" w:rsidSect="004053B9">
          <w:headerReference w:type="default" r:id="rId8"/>
          <w:headerReference w:type="first" r:id="rId9"/>
          <w:pgSz w:w="11900" w:h="16840"/>
          <w:pgMar w:top="284" w:right="654" w:bottom="620" w:left="964" w:header="0" w:footer="3" w:gutter="0"/>
          <w:pgNumType w:start="1"/>
          <w:cols w:space="720"/>
          <w:noEndnote/>
          <w:titlePg/>
          <w:docGrid w:linePitch="360"/>
        </w:sectPr>
      </w:pPr>
    </w:p>
    <w:p w:rsidR="00D20907" w:rsidRDefault="00D20907">
      <w:pPr>
        <w:spacing w:line="1" w:lineRule="exact"/>
        <w:sectPr w:rsidR="00D20907">
          <w:type w:val="continuous"/>
          <w:pgSz w:w="11900" w:h="16840"/>
          <w:pgMar w:top="562" w:right="654" w:bottom="620" w:left="964" w:header="0" w:footer="3" w:gutter="0"/>
          <w:cols w:space="720"/>
          <w:noEndnote/>
          <w:docGrid w:linePitch="360"/>
        </w:sectPr>
      </w:pPr>
    </w:p>
    <w:p w:rsidR="00365285" w:rsidRPr="008B0E92" w:rsidRDefault="00365285" w:rsidP="00365285">
      <w:pPr>
        <w:pStyle w:val="1"/>
        <w:spacing w:line="360" w:lineRule="auto"/>
        <w:ind w:firstLine="720"/>
        <w:jc w:val="center"/>
        <w:rPr>
          <w:b/>
          <w:sz w:val="28"/>
          <w:szCs w:val="28"/>
          <w:u w:val="single"/>
        </w:rPr>
      </w:pPr>
      <w:bookmarkStart w:id="0" w:name="_GoBack"/>
      <w:r w:rsidRPr="008B0E92">
        <w:rPr>
          <w:b/>
          <w:sz w:val="28"/>
          <w:szCs w:val="28"/>
          <w:u w:val="single"/>
        </w:rPr>
        <w:lastRenderedPageBreak/>
        <w:t>Финансовое обеспечение предупредительных мер</w:t>
      </w:r>
      <w:r w:rsidR="008B0E92" w:rsidRPr="008B0E92">
        <w:rPr>
          <w:b/>
          <w:sz w:val="28"/>
          <w:szCs w:val="28"/>
          <w:u w:val="single"/>
        </w:rPr>
        <w:t>,</w:t>
      </w:r>
      <w:r w:rsidR="008B0E92" w:rsidRPr="008B0E92">
        <w:rPr>
          <w:b/>
          <w:bCs/>
          <w:sz w:val="28"/>
          <w:szCs w:val="28"/>
          <w:u w:val="single"/>
        </w:rPr>
        <w:t xml:space="preserve"> направленных на сокращение производственного травматизма и профзаболеваний</w:t>
      </w:r>
      <w:r w:rsidR="008B0E92" w:rsidRPr="008B0E92">
        <w:rPr>
          <w:b/>
          <w:bCs/>
          <w:sz w:val="28"/>
          <w:szCs w:val="28"/>
          <w:u w:val="single"/>
        </w:rPr>
        <w:t>,</w:t>
      </w:r>
      <w:r w:rsidRPr="008B0E92">
        <w:rPr>
          <w:b/>
          <w:sz w:val="28"/>
          <w:szCs w:val="28"/>
          <w:u w:val="single"/>
        </w:rPr>
        <w:t xml:space="preserve"> в 2024 году</w:t>
      </w:r>
    </w:p>
    <w:bookmarkEnd w:id="0"/>
    <w:p w:rsidR="00D20907" w:rsidRPr="003A1A90" w:rsidRDefault="000B2C48" w:rsidP="006F1F90">
      <w:pPr>
        <w:pStyle w:val="1"/>
        <w:spacing w:line="360" w:lineRule="auto"/>
        <w:ind w:firstLine="720"/>
        <w:jc w:val="both"/>
        <w:rPr>
          <w:sz w:val="28"/>
          <w:szCs w:val="28"/>
        </w:rPr>
      </w:pPr>
      <w:proofErr w:type="gramStart"/>
      <w:r w:rsidRPr="003A1A90">
        <w:rPr>
          <w:sz w:val="28"/>
          <w:szCs w:val="28"/>
        </w:rPr>
        <w:t>Отделение Фонда пенсионного и социального страхования Российской Федерации по Приморскому краю осуществляет финансовое обеспечение предупредительных мер страхователя в соответствии с приказом Министерства труда и социальной защиты Российской Федерации от 14 июля 2021 года № 467н (далее - приказ Минтруда России № 467н),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roofErr w:type="gramEnd"/>
    </w:p>
    <w:p w:rsidR="00D20907" w:rsidRPr="003A1A90" w:rsidRDefault="000B2C48" w:rsidP="006F1F90">
      <w:pPr>
        <w:pStyle w:val="1"/>
        <w:spacing w:line="360" w:lineRule="auto"/>
        <w:ind w:firstLine="720"/>
        <w:jc w:val="both"/>
        <w:rPr>
          <w:sz w:val="28"/>
          <w:szCs w:val="28"/>
        </w:rPr>
      </w:pPr>
      <w:r w:rsidRPr="003A1A90">
        <w:rPr>
          <w:sz w:val="28"/>
          <w:szCs w:val="28"/>
        </w:rPr>
        <w:t>Финансовое обеспечение предупредительных мер осуществляется страхователем за счет собственных сре</w:t>
      </w:r>
      <w:proofErr w:type="gramStart"/>
      <w:r w:rsidRPr="003A1A90">
        <w:rPr>
          <w:sz w:val="28"/>
          <w:szCs w:val="28"/>
        </w:rPr>
        <w:t>дств с п</w:t>
      </w:r>
      <w:proofErr w:type="gramEnd"/>
      <w:r w:rsidRPr="003A1A90">
        <w:rPr>
          <w:sz w:val="28"/>
          <w:szCs w:val="28"/>
        </w:rPr>
        <w:t>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w:t>
      </w:r>
      <w:r w:rsidR="00C253C6">
        <w:rPr>
          <w:sz w:val="28"/>
          <w:szCs w:val="28"/>
        </w:rPr>
        <w:t>е</w:t>
      </w:r>
      <w:r w:rsidRPr="003A1A90">
        <w:rPr>
          <w:sz w:val="28"/>
          <w:szCs w:val="28"/>
        </w:rPr>
        <w:t xml:space="preserve">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гол, за вычетом расходов, произведенных в текущем календарном году на выплату </w:t>
      </w:r>
      <w:proofErr w:type="gramStart"/>
      <w:r w:rsidRPr="003A1A90">
        <w:rPr>
          <w:sz w:val="28"/>
          <w:szCs w:val="28"/>
        </w:rPr>
        <w:t>пособий</w:t>
      </w:r>
      <w:proofErr w:type="gramEnd"/>
      <w:r w:rsidRPr="003A1A90">
        <w:rPr>
          <w:sz w:val="28"/>
          <w:szCs w:val="28"/>
        </w:rPr>
        <w:t xml:space="preserve"> но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липа (сверх ежегодного оплачиваемого отпуска, установленного законодательством Российской Федерации) па весь период его лечения и проезда к месту лечения и обратно.</w:t>
      </w:r>
    </w:p>
    <w:p w:rsidR="00D20907" w:rsidRPr="003A1A90" w:rsidRDefault="000B2C48" w:rsidP="006F1F90">
      <w:pPr>
        <w:pStyle w:val="1"/>
        <w:spacing w:line="360" w:lineRule="auto"/>
        <w:ind w:firstLine="720"/>
        <w:jc w:val="both"/>
        <w:rPr>
          <w:sz w:val="28"/>
          <w:szCs w:val="28"/>
        </w:rPr>
      </w:pPr>
      <w:r w:rsidRPr="003A1A90">
        <w:rPr>
          <w:sz w:val="28"/>
          <w:szCs w:val="28"/>
        </w:rPr>
        <w:t>Страхователь направляет на финансовое обеспече</w:t>
      </w:r>
      <w:r w:rsidR="00C253C6">
        <w:rPr>
          <w:sz w:val="28"/>
          <w:szCs w:val="28"/>
        </w:rPr>
        <w:t xml:space="preserve">ние предупредительных мер до 20% </w:t>
      </w:r>
      <w:r w:rsidRPr="003A1A90">
        <w:rPr>
          <w:sz w:val="28"/>
          <w:szCs w:val="28"/>
        </w:rPr>
        <w:t>сумм страховых взносов, начисленных им за предшествующий календарный гол</w:t>
      </w:r>
      <w:proofErr w:type="gramStart"/>
      <w:r w:rsidRPr="003A1A90">
        <w:rPr>
          <w:sz w:val="28"/>
          <w:szCs w:val="28"/>
        </w:rPr>
        <w:t>.</w:t>
      </w:r>
      <w:proofErr w:type="gramEnd"/>
      <w:r w:rsidRPr="003A1A90">
        <w:rPr>
          <w:sz w:val="28"/>
          <w:szCs w:val="28"/>
        </w:rPr>
        <w:t xml:space="preserve"> </w:t>
      </w:r>
      <w:proofErr w:type="gramStart"/>
      <w:r w:rsidRPr="003A1A90">
        <w:rPr>
          <w:sz w:val="28"/>
          <w:szCs w:val="28"/>
        </w:rPr>
        <w:t>з</w:t>
      </w:r>
      <w:proofErr w:type="gramEnd"/>
      <w:r w:rsidRPr="003A1A90">
        <w:rPr>
          <w:sz w:val="28"/>
          <w:szCs w:val="28"/>
        </w:rPr>
        <w:t>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па производстве или профессиональными заболеваниями и на оплату отпуска застрахованного лица (сверх ежегодного оплачиваемого отпуска, ус</w:t>
      </w:r>
      <w:r w:rsidR="00C253C6">
        <w:rPr>
          <w:sz w:val="28"/>
          <w:szCs w:val="28"/>
        </w:rPr>
        <w:t xml:space="preserve">тановленного </w:t>
      </w:r>
      <w:r w:rsidRPr="003A1A90">
        <w:rPr>
          <w:sz w:val="28"/>
          <w:szCs w:val="28"/>
        </w:rPr>
        <w:t>законодательством Российской Федерации) на весь период его лечения и проезда к месту лечения и обратно.</w:t>
      </w:r>
    </w:p>
    <w:p w:rsidR="00D20907" w:rsidRPr="003A1A90" w:rsidRDefault="00C253C6" w:rsidP="006F1F90">
      <w:pPr>
        <w:pStyle w:val="1"/>
        <w:spacing w:line="360" w:lineRule="auto"/>
        <w:ind w:firstLine="720"/>
        <w:jc w:val="both"/>
        <w:rPr>
          <w:sz w:val="28"/>
          <w:szCs w:val="28"/>
        </w:rPr>
      </w:pPr>
      <w:proofErr w:type="gramStart"/>
      <w:r>
        <w:rPr>
          <w:sz w:val="28"/>
          <w:szCs w:val="28"/>
        </w:rPr>
        <w:t xml:space="preserve">Объем средств </w:t>
      </w:r>
      <w:r w:rsidR="000B2C48" w:rsidRPr="003A1A90">
        <w:rPr>
          <w:sz w:val="28"/>
          <w:szCs w:val="28"/>
        </w:rPr>
        <w:t xml:space="preserve">направляемых на указанные </w:t>
      </w:r>
      <w:r>
        <w:rPr>
          <w:sz w:val="28"/>
          <w:szCs w:val="28"/>
        </w:rPr>
        <w:t>цели, может быть увеличен до 30%</w:t>
      </w:r>
      <w:r w:rsidR="000B2C48" w:rsidRPr="003A1A90">
        <w:rPr>
          <w:sz w:val="28"/>
          <w:szCs w:val="28"/>
        </w:rPr>
        <w:t xml:space="preserve"> сумм страховых взносов, начисленных за предшеств</w:t>
      </w:r>
      <w:r>
        <w:rPr>
          <w:sz w:val="28"/>
          <w:szCs w:val="28"/>
        </w:rPr>
        <w:t xml:space="preserve">ующий календарный год </w:t>
      </w:r>
      <w:r w:rsidR="000B2C48" w:rsidRPr="003A1A90">
        <w:rPr>
          <w:sz w:val="28"/>
          <w:szCs w:val="28"/>
        </w:rPr>
        <w:t>за вычетом расходов, произведенных в предшествующем календарном году на выплат</w:t>
      </w:r>
      <w:r>
        <w:rPr>
          <w:sz w:val="28"/>
          <w:szCs w:val="28"/>
        </w:rPr>
        <w:t>ы</w:t>
      </w:r>
      <w:r w:rsidR="000B2C48" w:rsidRPr="003A1A90">
        <w:rPr>
          <w:sz w:val="28"/>
          <w:szCs w:val="28"/>
        </w:rPr>
        <w:t xml:space="preserve">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установленною законодательством Российской </w:t>
      </w:r>
      <w:r w:rsidR="000B2C48" w:rsidRPr="003A1A90">
        <w:rPr>
          <w:sz w:val="28"/>
          <w:szCs w:val="28"/>
        </w:rPr>
        <w:lastRenderedPageBreak/>
        <w:t>Федерации) на весь период</w:t>
      </w:r>
      <w:proofErr w:type="gramEnd"/>
      <w:r w:rsidR="000B2C48" w:rsidRPr="003A1A90">
        <w:rPr>
          <w:sz w:val="28"/>
          <w:szCs w:val="28"/>
        </w:rPr>
        <w:t xml:space="preserve">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w:t>
      </w:r>
      <w:r w:rsidR="00845D46">
        <w:rPr>
          <w:sz w:val="28"/>
          <w:szCs w:val="28"/>
        </w:rPr>
        <w:t>по</w:t>
      </w:r>
      <w:r w:rsidR="000B2C48" w:rsidRPr="003A1A90">
        <w:rPr>
          <w:sz w:val="28"/>
          <w:szCs w:val="28"/>
        </w:rPr>
        <w:t xml:space="preserve"> старости в соответствии с пенсионным законодательством.</w:t>
      </w:r>
    </w:p>
    <w:p w:rsidR="00D20907" w:rsidRPr="003A1A90" w:rsidRDefault="000B2C48" w:rsidP="006F1F90">
      <w:pPr>
        <w:pStyle w:val="1"/>
        <w:spacing w:line="360" w:lineRule="auto"/>
        <w:ind w:firstLine="720"/>
        <w:jc w:val="both"/>
        <w:rPr>
          <w:sz w:val="28"/>
          <w:szCs w:val="28"/>
        </w:rPr>
      </w:pPr>
      <w:proofErr w:type="gramStart"/>
      <w:r w:rsidRPr="003A1A90">
        <w:rPr>
          <w:sz w:val="28"/>
          <w:szCs w:val="28"/>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гола, предшествующие текущему финансовому году, и </w:t>
      </w:r>
      <w:proofErr w:type="spellStart"/>
      <w:r w:rsidRPr="003A1A90">
        <w:rPr>
          <w:sz w:val="28"/>
          <w:szCs w:val="28"/>
        </w:rPr>
        <w:t>нс</w:t>
      </w:r>
      <w:proofErr w:type="spellEnd"/>
      <w:r w:rsidRPr="003A1A90">
        <w:rPr>
          <w:sz w:val="28"/>
          <w:szCs w:val="28"/>
        </w:rPr>
        <w:t xml:space="preserve"> может превышать сумму страховых взносов, начисленных им за текущий финансовый</w:t>
      </w:r>
      <w:proofErr w:type="gramEnd"/>
      <w:r w:rsidRPr="003A1A90">
        <w:rPr>
          <w:sz w:val="28"/>
          <w:szCs w:val="28"/>
        </w:rPr>
        <w:t xml:space="preserve"> </w:t>
      </w:r>
      <w:proofErr w:type="gramStart"/>
      <w:r w:rsidRPr="003A1A90">
        <w:rPr>
          <w:sz w:val="28"/>
          <w:szCs w:val="28"/>
        </w:rPr>
        <w:t>год, за вычетом расходов, произведенных в теку</w:t>
      </w:r>
      <w:r w:rsidR="004053B9">
        <w:rPr>
          <w:sz w:val="28"/>
          <w:szCs w:val="28"/>
        </w:rPr>
        <w:t>щем календарном году на выплаты</w:t>
      </w:r>
      <w:r w:rsidRPr="003A1A90">
        <w:rPr>
          <w:sz w:val="28"/>
          <w:szCs w:val="28"/>
        </w:rPr>
        <w:t xml:space="preserve">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45D46" w:rsidRPr="00A32D35" w:rsidRDefault="000B2C48" w:rsidP="006F1F90">
      <w:pPr>
        <w:pStyle w:val="1"/>
        <w:spacing w:line="360" w:lineRule="auto"/>
        <w:ind w:firstLine="720"/>
        <w:jc w:val="both"/>
        <w:rPr>
          <w:sz w:val="28"/>
          <w:szCs w:val="28"/>
        </w:rPr>
      </w:pPr>
      <w:r w:rsidRPr="00A32D35">
        <w:rPr>
          <w:sz w:val="28"/>
          <w:szCs w:val="28"/>
        </w:rPr>
        <w:t>Финансовому обеспечению за счет сумм страховых взносов подлежат расходы страхователя по 16 направлениям, предусмотренным приказом Минтруда России № 467н.</w:t>
      </w:r>
      <w:r w:rsidR="00845D46" w:rsidRPr="00A32D35">
        <w:rPr>
          <w:sz w:val="28"/>
          <w:szCs w:val="28"/>
        </w:rPr>
        <w:t>:</w:t>
      </w:r>
    </w:p>
    <w:p w:rsidR="00845D46" w:rsidRPr="00A32D35" w:rsidRDefault="00845D46" w:rsidP="006F1F90">
      <w:pPr>
        <w:pStyle w:val="1"/>
        <w:spacing w:line="360" w:lineRule="auto"/>
        <w:ind w:firstLine="0"/>
        <w:jc w:val="both"/>
        <w:rPr>
          <w:sz w:val="28"/>
          <w:szCs w:val="28"/>
        </w:rPr>
      </w:pPr>
      <w:r w:rsidRPr="00A32D35">
        <w:rPr>
          <w:sz w:val="28"/>
          <w:szCs w:val="28"/>
        </w:rPr>
        <w:t>1.  Проведение специальной оценки условий труда</w:t>
      </w:r>
      <w:r w:rsidR="00A32D35">
        <w:rPr>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b/>
          <w:sz w:val="28"/>
          <w:szCs w:val="28"/>
        </w:rPr>
      </w:pPr>
      <w:r w:rsidRPr="00A32D35">
        <w:rPr>
          <w:rFonts w:ascii="Times New Roman" w:hAnsi="Times New Roman" w:cs="Times New Roman"/>
          <w:sz w:val="28"/>
          <w:szCs w:val="28"/>
        </w:rPr>
        <w:t xml:space="preserve">3. Обучение по охране труда следующих категорий работников (включая отдельные категории работников опасных производственных объектов) </w:t>
      </w:r>
      <w:r w:rsidRPr="00A32D35">
        <w:rPr>
          <w:rFonts w:ascii="Times New Roman" w:hAnsi="Times New Roman" w:cs="Times New Roman"/>
          <w:b/>
          <w:sz w:val="28"/>
          <w:szCs w:val="28"/>
        </w:rPr>
        <w:t>(продолжительность обучения не менее 40 часов, с отрывом от производства);</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 xml:space="preserve">4. </w:t>
      </w:r>
      <w:proofErr w:type="gramStart"/>
      <w:r w:rsidRPr="00A32D35">
        <w:rPr>
          <w:rFonts w:ascii="Times New Roman" w:hAnsi="Times New Roman" w:cs="Times New Roman"/>
          <w:sz w:val="28"/>
          <w:szCs w:val="28"/>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в соответствии с типовыми нормами бесплатной выдачи СИЗ и (или) на основании результатов проведения специальной оценки условий труда, а также смывающих</w:t>
      </w:r>
      <w:proofErr w:type="gramEnd"/>
      <w:r w:rsidRPr="00A32D35">
        <w:rPr>
          <w:rFonts w:ascii="Times New Roman" w:hAnsi="Times New Roman" w:cs="Times New Roman"/>
          <w:sz w:val="28"/>
          <w:szCs w:val="28"/>
        </w:rPr>
        <w:t xml:space="preserve"> и (или) обезвреживающих средств;</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5.</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Санаторно-курортное лечение работников, занятых на работах с вредными и (или) опасными производственными факторами</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 xml:space="preserve">Срок: </w:t>
      </w:r>
      <w:r w:rsidRPr="00A32D35">
        <w:rPr>
          <w:rFonts w:ascii="Times New Roman" w:hAnsi="Times New Roman" w:cs="Times New Roman"/>
          <w:b/>
          <w:sz w:val="28"/>
          <w:szCs w:val="28"/>
          <w:u w:val="single"/>
        </w:rPr>
        <w:t>14-21</w:t>
      </w:r>
      <w:r w:rsidR="00A32D35">
        <w:rPr>
          <w:rFonts w:ascii="Times New Roman" w:hAnsi="Times New Roman" w:cs="Times New Roman"/>
          <w:b/>
          <w:sz w:val="28"/>
          <w:szCs w:val="28"/>
          <w:u w:val="single"/>
        </w:rPr>
        <w:t xml:space="preserve"> </w:t>
      </w:r>
      <w:r w:rsidRPr="00A32D35">
        <w:rPr>
          <w:rFonts w:ascii="Times New Roman" w:hAnsi="Times New Roman" w:cs="Times New Roman"/>
          <w:b/>
          <w:sz w:val="28"/>
          <w:szCs w:val="28"/>
          <w:u w:val="single"/>
        </w:rPr>
        <w:t>день</w:t>
      </w:r>
      <w:r w:rsidR="00A32D35">
        <w:rPr>
          <w:rFonts w:ascii="Times New Roman" w:hAnsi="Times New Roman" w:cs="Times New Roman"/>
          <w:b/>
          <w:sz w:val="28"/>
          <w:szCs w:val="28"/>
          <w:u w:val="single"/>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6.</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 xml:space="preserve">Проведение обязательных периодических </w:t>
      </w:r>
      <w:proofErr w:type="spellStart"/>
      <w:r w:rsidRPr="00A32D35">
        <w:rPr>
          <w:rFonts w:ascii="Times New Roman" w:hAnsi="Times New Roman" w:cs="Times New Roman"/>
          <w:sz w:val="28"/>
          <w:szCs w:val="28"/>
        </w:rPr>
        <w:t>мед</w:t>
      </w:r>
      <w:proofErr w:type="gramStart"/>
      <w:r w:rsidR="00A32D35">
        <w:rPr>
          <w:rFonts w:ascii="Times New Roman" w:hAnsi="Times New Roman" w:cs="Times New Roman"/>
          <w:sz w:val="28"/>
          <w:szCs w:val="28"/>
        </w:rPr>
        <w:t>.</w:t>
      </w:r>
      <w:r w:rsidRPr="00A32D35">
        <w:rPr>
          <w:rFonts w:ascii="Times New Roman" w:hAnsi="Times New Roman" w:cs="Times New Roman"/>
          <w:sz w:val="28"/>
          <w:szCs w:val="28"/>
        </w:rPr>
        <w:t>о</w:t>
      </w:r>
      <w:proofErr w:type="gramEnd"/>
      <w:r w:rsidRPr="00A32D35">
        <w:rPr>
          <w:rFonts w:ascii="Times New Roman" w:hAnsi="Times New Roman" w:cs="Times New Roman"/>
          <w:sz w:val="28"/>
          <w:szCs w:val="28"/>
        </w:rPr>
        <w:t>смотров</w:t>
      </w:r>
      <w:proofErr w:type="spellEnd"/>
      <w:r w:rsidRPr="00A32D35">
        <w:rPr>
          <w:rFonts w:ascii="Times New Roman" w:hAnsi="Times New Roman" w:cs="Times New Roman"/>
          <w:sz w:val="28"/>
          <w:szCs w:val="28"/>
        </w:rPr>
        <w:t xml:space="preserve"> (обследований) работников, </w:t>
      </w:r>
      <w:r w:rsidRPr="00A32D35">
        <w:rPr>
          <w:rFonts w:ascii="Times New Roman" w:hAnsi="Times New Roman" w:cs="Times New Roman"/>
          <w:sz w:val="28"/>
          <w:szCs w:val="28"/>
        </w:rPr>
        <w:lastRenderedPageBreak/>
        <w:t>занятых на работах с вредными и (или) опасными производственными факторами</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7.</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Обеспечение лечебно-профилактическим питанием (далее - ЛПП) работников, для которых указанное питание предусмотрено</w:t>
      </w:r>
      <w:r w:rsidR="006F1F90">
        <w:rPr>
          <w:rFonts w:ascii="Times New Roman" w:hAnsi="Times New Roman" w:cs="Times New Roman"/>
          <w:sz w:val="28"/>
          <w:szCs w:val="28"/>
        </w:rPr>
        <w:t xml:space="preserve"> </w:t>
      </w:r>
      <w:hyperlink r:id="rId10" w:history="1">
        <w:r w:rsidRPr="00A32D35">
          <w:rPr>
            <w:rFonts w:ascii="Times New Roman" w:hAnsi="Times New Roman" w:cs="Times New Roman"/>
            <w:sz w:val="28"/>
            <w:szCs w:val="28"/>
          </w:rPr>
          <w:t>Перечнем</w:t>
        </w:r>
      </w:hyperlink>
      <w:r w:rsidRPr="00A32D35">
        <w:rPr>
          <w:rFonts w:ascii="Times New Roman" w:hAnsi="Times New Roman" w:cs="Times New Roman"/>
          <w:sz w:val="28"/>
          <w:szCs w:val="28"/>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8.</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 xml:space="preserve">Приобретение страхователями, работники которых проходят обязательные </w:t>
      </w:r>
      <w:proofErr w:type="spellStart"/>
      <w:r w:rsidRPr="00A32D35">
        <w:rPr>
          <w:rFonts w:ascii="Times New Roman" w:hAnsi="Times New Roman" w:cs="Times New Roman"/>
          <w:sz w:val="28"/>
          <w:szCs w:val="28"/>
        </w:rPr>
        <w:t>предсменные</w:t>
      </w:r>
      <w:proofErr w:type="spellEnd"/>
      <w:r w:rsidRPr="00A32D35">
        <w:rPr>
          <w:rFonts w:ascii="Times New Roman" w:hAnsi="Times New Roman" w:cs="Times New Roman"/>
          <w:sz w:val="28"/>
          <w:szCs w:val="28"/>
        </w:rPr>
        <w:t xml:space="preserve"> и (или) </w:t>
      </w:r>
      <w:proofErr w:type="spellStart"/>
      <w:r w:rsidRPr="00A32D35">
        <w:rPr>
          <w:rFonts w:ascii="Times New Roman" w:hAnsi="Times New Roman" w:cs="Times New Roman"/>
          <w:sz w:val="28"/>
          <w:szCs w:val="28"/>
        </w:rPr>
        <w:t>предрейсовые</w:t>
      </w:r>
      <w:proofErr w:type="spellEnd"/>
      <w:r w:rsidRPr="00A32D35">
        <w:rPr>
          <w:rFonts w:ascii="Times New Roman" w:hAnsi="Times New Roman" w:cs="Times New Roman"/>
          <w:sz w:val="28"/>
          <w:szCs w:val="28"/>
        </w:rPr>
        <w:t xml:space="preserve"> медицинские осмотры, приборов для определения наличия и уровня содержания алкоголя (</w:t>
      </w:r>
      <w:proofErr w:type="spellStart"/>
      <w:r w:rsidRPr="00A32D35">
        <w:rPr>
          <w:rFonts w:ascii="Times New Roman" w:hAnsi="Times New Roman" w:cs="Times New Roman"/>
          <w:sz w:val="28"/>
          <w:szCs w:val="28"/>
        </w:rPr>
        <w:t>алкотестеры</w:t>
      </w:r>
      <w:proofErr w:type="spellEnd"/>
      <w:r w:rsidRPr="00A32D35">
        <w:rPr>
          <w:rFonts w:ascii="Times New Roman" w:hAnsi="Times New Roman" w:cs="Times New Roman"/>
          <w:sz w:val="28"/>
          <w:szCs w:val="28"/>
        </w:rPr>
        <w:t xml:space="preserve"> или </w:t>
      </w:r>
      <w:proofErr w:type="spellStart"/>
      <w:r w:rsidRPr="00A32D35">
        <w:rPr>
          <w:rFonts w:ascii="Times New Roman" w:hAnsi="Times New Roman" w:cs="Times New Roman"/>
          <w:sz w:val="28"/>
          <w:szCs w:val="28"/>
        </w:rPr>
        <w:t>алкометры</w:t>
      </w:r>
      <w:proofErr w:type="spellEnd"/>
      <w:r w:rsidRPr="00A32D35">
        <w:rPr>
          <w:rFonts w:ascii="Times New Roman" w:hAnsi="Times New Roman" w:cs="Times New Roman"/>
          <w:sz w:val="28"/>
          <w:szCs w:val="28"/>
        </w:rPr>
        <w:t>)</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9.</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 xml:space="preserve">Приобретение страхователями, осуществляющими пассажирские и грузовые перевозки, приборов </w:t>
      </w:r>
      <w:proofErr w:type="gramStart"/>
      <w:r w:rsidRPr="00A32D35">
        <w:rPr>
          <w:rFonts w:ascii="Times New Roman" w:hAnsi="Times New Roman" w:cs="Times New Roman"/>
          <w:sz w:val="28"/>
          <w:szCs w:val="28"/>
        </w:rPr>
        <w:t>контроля за</w:t>
      </w:r>
      <w:proofErr w:type="gramEnd"/>
      <w:r w:rsidRPr="00A32D35">
        <w:rPr>
          <w:rFonts w:ascii="Times New Roman" w:hAnsi="Times New Roman" w:cs="Times New Roman"/>
          <w:sz w:val="28"/>
          <w:szCs w:val="28"/>
        </w:rPr>
        <w:t xml:space="preserve"> режимом труда и отдыха водителей (</w:t>
      </w:r>
      <w:proofErr w:type="spellStart"/>
      <w:r w:rsidRPr="00A32D35">
        <w:rPr>
          <w:rFonts w:ascii="Times New Roman" w:hAnsi="Times New Roman" w:cs="Times New Roman"/>
          <w:sz w:val="28"/>
          <w:szCs w:val="28"/>
        </w:rPr>
        <w:t>тахографов</w:t>
      </w:r>
      <w:proofErr w:type="spellEnd"/>
      <w:r w:rsidRPr="00A32D35">
        <w:rPr>
          <w:rFonts w:ascii="Times New Roman" w:hAnsi="Times New Roman" w:cs="Times New Roman"/>
          <w:sz w:val="28"/>
          <w:szCs w:val="28"/>
        </w:rPr>
        <w:t>)</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10.</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Приобретение страхователями аптечек для оказания первой помощи</w:t>
      </w:r>
      <w:r w:rsidR="00A32D35">
        <w:rPr>
          <w:rFonts w:ascii="Times New Roman" w:hAnsi="Times New Roman" w:cs="Times New Roman"/>
          <w:sz w:val="28"/>
          <w:szCs w:val="28"/>
        </w:rPr>
        <w:t>;</w:t>
      </w:r>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11.</w:t>
      </w:r>
      <w:r w:rsidR="00A32D35">
        <w:rPr>
          <w:rFonts w:ascii="Times New Roman" w:hAnsi="Times New Roman" w:cs="Times New Roman"/>
          <w:sz w:val="28"/>
          <w:szCs w:val="28"/>
        </w:rPr>
        <w:t xml:space="preserve"> </w:t>
      </w:r>
      <w:proofErr w:type="gramStart"/>
      <w:r w:rsidRPr="00A32D35">
        <w:rPr>
          <w:rFonts w:ascii="Times New Roman" w:hAnsi="Times New Roman" w:cs="Times New Roman"/>
          <w:sz w:val="28"/>
          <w:szCs w:val="28"/>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r w:rsidR="00A32D35">
        <w:rPr>
          <w:rFonts w:ascii="Times New Roman" w:hAnsi="Times New Roman" w:cs="Times New Roman"/>
          <w:sz w:val="28"/>
          <w:szCs w:val="28"/>
        </w:rPr>
        <w:t>;</w:t>
      </w:r>
      <w:proofErr w:type="gramEnd"/>
    </w:p>
    <w:p w:rsidR="00845D46" w:rsidRPr="00A32D35" w:rsidRDefault="00845D46"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12.</w:t>
      </w:r>
      <w:r w:rsidR="00A32D35">
        <w:rPr>
          <w:rFonts w:ascii="Times New Roman" w:hAnsi="Times New Roman" w:cs="Times New Roman"/>
          <w:sz w:val="28"/>
          <w:szCs w:val="28"/>
        </w:rPr>
        <w:t xml:space="preserve"> </w:t>
      </w:r>
      <w:proofErr w:type="gramStart"/>
      <w:r w:rsidRPr="00A32D35">
        <w:rPr>
          <w:rFonts w:ascii="Times New Roman" w:hAnsi="Times New Roman" w:cs="Times New Roman"/>
          <w:sz w:val="28"/>
          <w:szCs w:val="28"/>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w:t>
      </w:r>
      <w:proofErr w:type="gramEnd"/>
      <w:r w:rsidRPr="00A32D35">
        <w:rPr>
          <w:rFonts w:ascii="Times New Roman" w:hAnsi="Times New Roman" w:cs="Times New Roman"/>
          <w:sz w:val="28"/>
          <w:szCs w:val="28"/>
        </w:rPr>
        <w:t xml:space="preserve"> фиксации</w:t>
      </w:r>
      <w:r w:rsidR="00A32D35">
        <w:rPr>
          <w:rFonts w:ascii="Times New Roman" w:hAnsi="Times New Roman" w:cs="Times New Roman"/>
          <w:sz w:val="28"/>
          <w:szCs w:val="28"/>
        </w:rPr>
        <w:t>;</w:t>
      </w:r>
    </w:p>
    <w:p w:rsidR="00A32D35" w:rsidRPr="00A32D35" w:rsidRDefault="00845D46" w:rsidP="006F1F90">
      <w:pPr>
        <w:autoSpaceDE w:val="0"/>
        <w:autoSpaceDN w:val="0"/>
        <w:adjustRightInd w:val="0"/>
        <w:spacing w:line="360" w:lineRule="auto"/>
        <w:jc w:val="both"/>
        <w:rPr>
          <w:rFonts w:ascii="Times New Roman" w:hAnsi="Times New Roman" w:cs="Times New Roman"/>
          <w:b/>
          <w:sz w:val="28"/>
          <w:szCs w:val="28"/>
          <w:u w:val="single"/>
        </w:rPr>
      </w:pPr>
      <w:r w:rsidRPr="00A32D35">
        <w:rPr>
          <w:rFonts w:ascii="Times New Roman" w:hAnsi="Times New Roman" w:cs="Times New Roman"/>
          <w:sz w:val="28"/>
          <w:szCs w:val="28"/>
        </w:rPr>
        <w:t>13.</w:t>
      </w:r>
      <w:r w:rsidR="00A32D35">
        <w:rPr>
          <w:rFonts w:ascii="Times New Roman" w:hAnsi="Times New Roman" w:cs="Times New Roman"/>
          <w:sz w:val="28"/>
          <w:szCs w:val="28"/>
        </w:rPr>
        <w:t xml:space="preserve"> </w:t>
      </w:r>
      <w:r w:rsidRPr="00A32D35">
        <w:rPr>
          <w:rFonts w:ascii="Times New Roman" w:hAnsi="Times New Roman" w:cs="Times New Roman"/>
          <w:sz w:val="28"/>
          <w:szCs w:val="28"/>
        </w:rPr>
        <w:t>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w:t>
      </w:r>
      <w:r w:rsidR="00A32D35">
        <w:rPr>
          <w:rFonts w:ascii="Times New Roman" w:hAnsi="Times New Roman" w:cs="Times New Roman"/>
          <w:sz w:val="28"/>
          <w:szCs w:val="28"/>
        </w:rPr>
        <w:t xml:space="preserve">нным законодательством </w:t>
      </w:r>
      <w:r w:rsidRPr="00A32D35">
        <w:rPr>
          <w:rFonts w:ascii="Times New Roman" w:hAnsi="Times New Roman" w:cs="Times New Roman"/>
          <w:sz w:val="28"/>
          <w:szCs w:val="28"/>
        </w:rPr>
        <w:t>(</w:t>
      </w:r>
      <w:r w:rsidRPr="00A32D35">
        <w:rPr>
          <w:rFonts w:ascii="Times New Roman" w:hAnsi="Times New Roman" w:cs="Times New Roman"/>
          <w:b/>
          <w:sz w:val="28"/>
          <w:szCs w:val="28"/>
        </w:rPr>
        <w:t>также для категории граждан пенсионного возраста</w:t>
      </w:r>
      <w:r w:rsidRPr="00A32D35">
        <w:rPr>
          <w:rFonts w:ascii="Times New Roman" w:hAnsi="Times New Roman" w:cs="Times New Roman"/>
          <w:sz w:val="28"/>
          <w:szCs w:val="28"/>
        </w:rPr>
        <w:t xml:space="preserve">)  Срок: </w:t>
      </w:r>
      <w:r w:rsidRPr="00A32D35">
        <w:rPr>
          <w:rFonts w:ascii="Times New Roman" w:hAnsi="Times New Roman" w:cs="Times New Roman"/>
          <w:b/>
          <w:sz w:val="28"/>
          <w:szCs w:val="28"/>
          <w:u w:val="single"/>
        </w:rPr>
        <w:t xml:space="preserve">14-21 </w:t>
      </w:r>
      <w:r w:rsidR="00A32D35" w:rsidRPr="00A32D35">
        <w:rPr>
          <w:rFonts w:ascii="Times New Roman" w:hAnsi="Times New Roman" w:cs="Times New Roman"/>
          <w:b/>
          <w:sz w:val="28"/>
          <w:szCs w:val="28"/>
          <w:u w:val="single"/>
        </w:rPr>
        <w:t>день;</w:t>
      </w:r>
    </w:p>
    <w:p w:rsidR="00A32D35" w:rsidRPr="00A32D35" w:rsidRDefault="00A32D35" w:rsidP="006F1F90">
      <w:pPr>
        <w:autoSpaceDE w:val="0"/>
        <w:autoSpaceDN w:val="0"/>
        <w:adjustRightInd w:val="0"/>
        <w:spacing w:line="360" w:lineRule="auto"/>
        <w:jc w:val="both"/>
        <w:rPr>
          <w:rFonts w:ascii="Times New Roman" w:hAnsi="Times New Roman" w:cs="Times New Roman"/>
          <w:sz w:val="28"/>
          <w:szCs w:val="28"/>
        </w:rPr>
      </w:pPr>
      <w:r w:rsidRPr="00A32D35">
        <w:rPr>
          <w:rFonts w:ascii="Times New Roman" w:hAnsi="Times New Roman" w:cs="Times New Roman"/>
          <w:sz w:val="28"/>
          <w:szCs w:val="28"/>
        </w:rPr>
        <w:t xml:space="preserve">14. </w:t>
      </w:r>
      <w:proofErr w:type="gramStart"/>
      <w:r w:rsidRPr="00A32D35">
        <w:rPr>
          <w:rFonts w:ascii="Times New Roman" w:hAnsi="Times New Roman" w:cs="Times New Roman"/>
          <w:sz w:val="28"/>
          <w:szCs w:val="28"/>
        </w:rPr>
        <w:t>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bookmarkStart w:id="1" w:name="l55"/>
      <w:bookmarkEnd w:id="1"/>
      <w:proofErr w:type="gramEnd"/>
    </w:p>
    <w:p w:rsidR="00A32D35" w:rsidRPr="00A32D35" w:rsidRDefault="00A32D35" w:rsidP="006F1F90">
      <w:pPr>
        <w:autoSpaceDE w:val="0"/>
        <w:autoSpaceDN w:val="0"/>
        <w:adjustRightInd w:val="0"/>
        <w:spacing w:line="360" w:lineRule="auto"/>
        <w:jc w:val="both"/>
        <w:rPr>
          <w:rFonts w:ascii="Times New Roman" w:hAnsi="Times New Roman" w:cs="Times New Roman"/>
          <w:b/>
          <w:sz w:val="28"/>
          <w:szCs w:val="28"/>
          <w:u w:val="single"/>
        </w:rPr>
      </w:pPr>
      <w:r w:rsidRPr="00A32D35">
        <w:rPr>
          <w:rFonts w:ascii="Times New Roman" w:hAnsi="Times New Roman" w:cs="Times New Roman"/>
          <w:sz w:val="28"/>
          <w:szCs w:val="28"/>
        </w:rPr>
        <w:t xml:space="preserve">15. </w:t>
      </w:r>
      <w:proofErr w:type="gramStart"/>
      <w:r w:rsidRPr="00A32D35">
        <w:rPr>
          <w:rFonts w:ascii="Times New Roman" w:hAnsi="Times New Roman" w:cs="Times New Roman"/>
          <w:sz w:val="28"/>
          <w:szCs w:val="28"/>
        </w:rPr>
        <w:t xml:space="preserve">Приобретение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A32D35">
        <w:rPr>
          <w:rFonts w:ascii="Times New Roman" w:hAnsi="Times New Roman" w:cs="Times New Roman"/>
          <w:sz w:val="28"/>
          <w:szCs w:val="28"/>
        </w:rPr>
        <w:t>импортозамещения</w:t>
      </w:r>
      <w:proofErr w:type="spellEnd"/>
      <w:r w:rsidRPr="00A32D35">
        <w:rPr>
          <w:rFonts w:ascii="Times New Roman" w:hAnsi="Times New Roman" w:cs="Times New Roman"/>
          <w:sz w:val="28"/>
          <w:szCs w:val="28"/>
        </w:rPr>
        <w:t xml:space="preserve">), обеспечивающих безопасное ведение горных работ, в рамках модернизации основных производств, в соответствии с перечнем </w:t>
      </w:r>
      <w:r w:rsidRPr="00A32D35">
        <w:rPr>
          <w:rFonts w:ascii="Times New Roman" w:hAnsi="Times New Roman" w:cs="Times New Roman"/>
          <w:sz w:val="28"/>
          <w:szCs w:val="28"/>
        </w:rPr>
        <w:lastRenderedPageBreak/>
        <w:t>рекомендуемых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w:t>
      </w:r>
      <w:proofErr w:type="gramEnd"/>
      <w:r w:rsidRPr="00A32D35">
        <w:rPr>
          <w:rFonts w:ascii="Times New Roman" w:hAnsi="Times New Roman" w:cs="Times New Roman"/>
          <w:sz w:val="28"/>
          <w:szCs w:val="28"/>
        </w:rPr>
        <w:t xml:space="preserve">, оборудования при условии включения соответствующих мероприятий в отраслевые планы </w:t>
      </w:r>
      <w:proofErr w:type="spellStart"/>
      <w:r w:rsidRPr="00A32D35">
        <w:rPr>
          <w:rFonts w:ascii="Times New Roman" w:hAnsi="Times New Roman" w:cs="Times New Roman"/>
          <w:sz w:val="28"/>
          <w:szCs w:val="28"/>
        </w:rPr>
        <w:t>импортозамещения</w:t>
      </w:r>
      <w:proofErr w:type="spellEnd"/>
      <w:r w:rsidRPr="00A32D35">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утверждаемым Минтруда и соцзащиты Р</w:t>
      </w:r>
      <w:r>
        <w:rPr>
          <w:rFonts w:ascii="Times New Roman" w:hAnsi="Times New Roman" w:cs="Times New Roman"/>
          <w:sz w:val="28"/>
          <w:szCs w:val="28"/>
        </w:rPr>
        <w:t>Ф</w:t>
      </w:r>
      <w:bookmarkStart w:id="2" w:name="l56"/>
      <w:bookmarkStart w:id="3" w:name="l281"/>
      <w:bookmarkEnd w:id="2"/>
      <w:bookmarkEnd w:id="3"/>
      <w:r>
        <w:rPr>
          <w:rFonts w:ascii="Times New Roman" w:hAnsi="Times New Roman" w:cs="Times New Roman"/>
          <w:sz w:val="28"/>
          <w:szCs w:val="28"/>
        </w:rPr>
        <w:t xml:space="preserve"> </w:t>
      </w:r>
      <w:r w:rsidRPr="00A32D35">
        <w:rPr>
          <w:rStyle w:val="dt-r"/>
          <w:rFonts w:ascii="Times New Roman" w:hAnsi="Times New Roman" w:cs="Times New Roman"/>
          <w:sz w:val="28"/>
          <w:szCs w:val="28"/>
        </w:rPr>
        <w:t>(в ред. Приказа Минтруда РФ от 02.03.2022г. № 97н)</w:t>
      </w:r>
      <w:r>
        <w:rPr>
          <w:rStyle w:val="dt-r"/>
          <w:rFonts w:ascii="Times New Roman" w:hAnsi="Times New Roman" w:cs="Times New Roman"/>
          <w:sz w:val="28"/>
          <w:szCs w:val="28"/>
        </w:rPr>
        <w:t>;</w:t>
      </w:r>
      <w:r w:rsidRPr="00A32D35">
        <w:rPr>
          <w:rStyle w:val="dt-r"/>
          <w:rFonts w:ascii="Times New Roman" w:hAnsi="Times New Roman" w:cs="Times New Roman"/>
          <w:sz w:val="28"/>
          <w:szCs w:val="28"/>
        </w:rPr>
        <w:t xml:space="preserve"> </w:t>
      </w:r>
      <w:bookmarkStart w:id="4" w:name="l305"/>
      <w:bookmarkEnd w:id="4"/>
    </w:p>
    <w:p w:rsidR="00845D46" w:rsidRPr="00A32D35" w:rsidRDefault="00A32D35" w:rsidP="006F1F90">
      <w:pPr>
        <w:pStyle w:val="dt-p"/>
        <w:spacing w:before="0" w:beforeAutospacing="0" w:after="0" w:afterAutospacing="0" w:line="360" w:lineRule="auto"/>
        <w:jc w:val="both"/>
        <w:rPr>
          <w:sz w:val="28"/>
          <w:szCs w:val="28"/>
        </w:rPr>
      </w:pPr>
      <w:r w:rsidRPr="00A32D35">
        <w:rPr>
          <w:rStyle w:val="dt-m"/>
          <w:sz w:val="28"/>
          <w:szCs w:val="28"/>
        </w:rPr>
        <w:t xml:space="preserve">16. </w:t>
      </w:r>
      <w:proofErr w:type="gramStart"/>
      <w:r w:rsidRPr="00A32D35">
        <w:rPr>
          <w:sz w:val="28"/>
          <w:szCs w:val="28"/>
        </w:rPr>
        <w:t>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w:t>
      </w:r>
      <w:proofErr w:type="gramEnd"/>
      <w:r w:rsidRPr="00A32D35">
        <w:rPr>
          <w:sz w:val="28"/>
          <w:szCs w:val="28"/>
        </w:rPr>
        <w:t xml:space="preserve"> выдаются бесплатно по установленным нормам молоко или другие равноценные пищевые продукты, утвержденным приказом Минтруда и соцзащиты Р</w:t>
      </w:r>
      <w:r>
        <w:rPr>
          <w:sz w:val="28"/>
          <w:szCs w:val="28"/>
        </w:rPr>
        <w:t>Ф</w:t>
      </w:r>
      <w:r w:rsidRPr="00A32D35">
        <w:rPr>
          <w:sz w:val="28"/>
          <w:szCs w:val="28"/>
        </w:rPr>
        <w:t xml:space="preserve"> от 12 мая 2022 г. </w:t>
      </w:r>
      <w:r>
        <w:rPr>
          <w:sz w:val="28"/>
          <w:szCs w:val="28"/>
        </w:rPr>
        <w:t xml:space="preserve">№ </w:t>
      </w:r>
      <w:r w:rsidRPr="00A32D35">
        <w:rPr>
          <w:sz w:val="28"/>
          <w:szCs w:val="28"/>
        </w:rPr>
        <w:t>291н (зарегистрирован Министерством юстиции Р</w:t>
      </w:r>
      <w:r>
        <w:rPr>
          <w:sz w:val="28"/>
          <w:szCs w:val="28"/>
        </w:rPr>
        <w:t xml:space="preserve">Ф </w:t>
      </w:r>
      <w:r w:rsidRPr="00A32D35">
        <w:rPr>
          <w:sz w:val="28"/>
          <w:szCs w:val="28"/>
        </w:rPr>
        <w:t xml:space="preserve">30 мая 2022 г., регистрационный </w:t>
      </w:r>
      <w:r>
        <w:rPr>
          <w:sz w:val="28"/>
          <w:szCs w:val="28"/>
        </w:rPr>
        <w:t xml:space="preserve">№ </w:t>
      </w:r>
      <w:r w:rsidRPr="00A32D35">
        <w:rPr>
          <w:sz w:val="28"/>
          <w:szCs w:val="28"/>
        </w:rPr>
        <w:t>68624) (далее - Перечень вредных производственных факторов)</w:t>
      </w:r>
      <w:bookmarkStart w:id="5" w:name="l321"/>
      <w:bookmarkEnd w:id="5"/>
      <w:r>
        <w:rPr>
          <w:sz w:val="28"/>
          <w:szCs w:val="28"/>
        </w:rPr>
        <w:t xml:space="preserve"> </w:t>
      </w:r>
      <w:r w:rsidRPr="00A32D35">
        <w:rPr>
          <w:rStyle w:val="dt-r"/>
          <w:sz w:val="28"/>
          <w:szCs w:val="28"/>
        </w:rPr>
        <w:t>(в ред. Приказа Минтруда РФ</w:t>
      </w:r>
      <w:r>
        <w:rPr>
          <w:rStyle w:val="dt-r"/>
          <w:sz w:val="28"/>
          <w:szCs w:val="28"/>
        </w:rPr>
        <w:t xml:space="preserve"> </w:t>
      </w:r>
      <w:r w:rsidRPr="00A32D35">
        <w:rPr>
          <w:rStyle w:val="dt-r"/>
          <w:sz w:val="28"/>
          <w:szCs w:val="28"/>
        </w:rPr>
        <w:t>от 27.02.2023г. № 101н)</w:t>
      </w:r>
      <w:r>
        <w:rPr>
          <w:rStyle w:val="dt-r"/>
          <w:sz w:val="28"/>
          <w:szCs w:val="28"/>
        </w:rPr>
        <w:t>.</w:t>
      </w:r>
      <w:r w:rsidRPr="00A32D35">
        <w:rPr>
          <w:rStyle w:val="dt-r"/>
          <w:sz w:val="28"/>
          <w:szCs w:val="28"/>
        </w:rPr>
        <w:t xml:space="preserve"> </w:t>
      </w:r>
    </w:p>
    <w:p w:rsidR="00D20907" w:rsidRPr="00A32D35" w:rsidRDefault="000B2C48" w:rsidP="006F1F90">
      <w:pPr>
        <w:pStyle w:val="1"/>
        <w:spacing w:line="360" w:lineRule="auto"/>
        <w:ind w:firstLine="720"/>
        <w:jc w:val="both"/>
        <w:rPr>
          <w:sz w:val="28"/>
          <w:szCs w:val="28"/>
        </w:rPr>
      </w:pPr>
      <w:r w:rsidRPr="00A32D35">
        <w:rPr>
          <w:sz w:val="28"/>
          <w:szCs w:val="28"/>
        </w:rPr>
        <w:t>Территориальный орган Фонда имеет право принять решение об отказе в финансовом обеспечении предупредительных мер в следующих случаях:</w:t>
      </w:r>
    </w:p>
    <w:p w:rsidR="00D20907" w:rsidRPr="00A32D35" w:rsidRDefault="000B2C48" w:rsidP="006F1F90">
      <w:pPr>
        <w:pStyle w:val="1"/>
        <w:tabs>
          <w:tab w:val="left" w:pos="328"/>
        </w:tabs>
        <w:spacing w:line="360" w:lineRule="auto"/>
        <w:ind w:firstLine="0"/>
        <w:jc w:val="both"/>
        <w:rPr>
          <w:sz w:val="28"/>
          <w:szCs w:val="28"/>
        </w:rPr>
      </w:pPr>
      <w:bookmarkStart w:id="6" w:name="bookmark0"/>
      <w:r w:rsidRPr="00A32D35">
        <w:rPr>
          <w:sz w:val="28"/>
          <w:szCs w:val="28"/>
        </w:rPr>
        <w:t>а</w:t>
      </w:r>
      <w:bookmarkEnd w:id="6"/>
      <w:r w:rsidRPr="00A32D35">
        <w:rPr>
          <w:sz w:val="28"/>
          <w:szCs w:val="28"/>
        </w:rPr>
        <w:t>)</w:t>
      </w:r>
      <w:r w:rsidRPr="00A32D35">
        <w:rPr>
          <w:sz w:val="28"/>
          <w:szCs w:val="28"/>
        </w:rPr>
        <w:tab/>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прочерки, и (или) начисленные пени и штрафы по итогам камеральной или выездной проверки:</w:t>
      </w:r>
    </w:p>
    <w:p w:rsidR="00D20907" w:rsidRPr="00A32D35" w:rsidRDefault="000B2C48" w:rsidP="006F1F90">
      <w:pPr>
        <w:pStyle w:val="1"/>
        <w:tabs>
          <w:tab w:val="left" w:pos="328"/>
        </w:tabs>
        <w:spacing w:line="360" w:lineRule="auto"/>
        <w:ind w:firstLine="0"/>
        <w:jc w:val="both"/>
        <w:rPr>
          <w:sz w:val="28"/>
          <w:szCs w:val="28"/>
        </w:rPr>
      </w:pPr>
      <w:bookmarkStart w:id="7" w:name="bookmark1"/>
      <w:r w:rsidRPr="00A32D35">
        <w:rPr>
          <w:sz w:val="28"/>
          <w:szCs w:val="28"/>
        </w:rPr>
        <w:t>б</w:t>
      </w:r>
      <w:bookmarkEnd w:id="7"/>
      <w:r w:rsidRPr="00A32D35">
        <w:rPr>
          <w:sz w:val="28"/>
          <w:szCs w:val="28"/>
        </w:rPr>
        <w:t>)</w:t>
      </w:r>
      <w:r w:rsidRPr="00A32D35">
        <w:rPr>
          <w:sz w:val="28"/>
          <w:szCs w:val="28"/>
        </w:rPr>
        <w:tab/>
        <w:t>представленные документы содержат недостоверную информацию:</w:t>
      </w:r>
    </w:p>
    <w:p w:rsidR="00D20907" w:rsidRPr="00A32D35" w:rsidRDefault="000B2C48" w:rsidP="006F1F90">
      <w:pPr>
        <w:pStyle w:val="1"/>
        <w:tabs>
          <w:tab w:val="left" w:pos="328"/>
        </w:tabs>
        <w:spacing w:line="360" w:lineRule="auto"/>
        <w:ind w:firstLine="0"/>
        <w:jc w:val="both"/>
        <w:rPr>
          <w:sz w:val="28"/>
          <w:szCs w:val="28"/>
        </w:rPr>
      </w:pPr>
      <w:bookmarkStart w:id="8" w:name="bookmark2"/>
      <w:r w:rsidRPr="00A32D35">
        <w:rPr>
          <w:sz w:val="28"/>
          <w:szCs w:val="28"/>
        </w:rPr>
        <w:t>в</w:t>
      </w:r>
      <w:bookmarkEnd w:id="8"/>
      <w:r w:rsidRPr="00A32D35">
        <w:rPr>
          <w:sz w:val="28"/>
          <w:szCs w:val="28"/>
        </w:rPr>
        <w:t>)</w:t>
      </w:r>
      <w:r w:rsidRPr="00A32D35">
        <w:rPr>
          <w:sz w:val="28"/>
          <w:szCs w:val="28"/>
        </w:rPr>
        <w:tab/>
        <w:t>если предусмотренные бюджетом Фонда средства на финансовое обеспечение предупредительных мер на текущий год полностью распределены;</w:t>
      </w:r>
    </w:p>
    <w:p w:rsidR="00D20907" w:rsidRPr="00A32D35" w:rsidRDefault="000B2C48" w:rsidP="006F1F90">
      <w:pPr>
        <w:pStyle w:val="1"/>
        <w:tabs>
          <w:tab w:val="left" w:pos="328"/>
        </w:tabs>
        <w:spacing w:line="360" w:lineRule="auto"/>
        <w:ind w:firstLine="0"/>
        <w:jc w:val="both"/>
        <w:rPr>
          <w:sz w:val="28"/>
          <w:szCs w:val="28"/>
        </w:rPr>
      </w:pPr>
      <w:bookmarkStart w:id="9" w:name="bookmark3"/>
      <w:r w:rsidRPr="00A32D35">
        <w:rPr>
          <w:sz w:val="28"/>
          <w:szCs w:val="28"/>
        </w:rPr>
        <w:t>г</w:t>
      </w:r>
      <w:bookmarkEnd w:id="9"/>
      <w:r w:rsidR="003A1A90" w:rsidRPr="00A32D35">
        <w:rPr>
          <w:sz w:val="28"/>
          <w:szCs w:val="28"/>
        </w:rPr>
        <w:t>)</w:t>
      </w:r>
      <w:r w:rsidR="003A1A90" w:rsidRPr="00A32D35">
        <w:rPr>
          <w:sz w:val="28"/>
          <w:szCs w:val="28"/>
        </w:rPr>
        <w:tab/>
        <w:t>при представл</w:t>
      </w:r>
      <w:r w:rsidRPr="00A32D35">
        <w:rPr>
          <w:sz w:val="28"/>
          <w:szCs w:val="28"/>
        </w:rPr>
        <w:t>ении страхователем неполного комплекта документов.</w:t>
      </w:r>
    </w:p>
    <w:p w:rsidR="00D20907" w:rsidRPr="00A32D35" w:rsidRDefault="000B2C48" w:rsidP="006F1F90">
      <w:pPr>
        <w:pStyle w:val="1"/>
        <w:spacing w:line="360" w:lineRule="auto"/>
        <w:ind w:firstLine="720"/>
        <w:jc w:val="both"/>
        <w:rPr>
          <w:sz w:val="28"/>
          <w:szCs w:val="28"/>
        </w:rPr>
      </w:pPr>
      <w:r w:rsidRPr="00A32D35">
        <w:rPr>
          <w:sz w:val="28"/>
          <w:szCs w:val="28"/>
        </w:rPr>
        <w:t>Отказ в финансовом обеспечении предупредительных мер по другим основаниям не допускается.</w:t>
      </w:r>
    </w:p>
    <w:p w:rsidR="00D20907" w:rsidRPr="00A32D35" w:rsidRDefault="00D20907" w:rsidP="006F1F90">
      <w:pPr>
        <w:pStyle w:val="40"/>
        <w:spacing w:after="0" w:line="360" w:lineRule="auto"/>
        <w:ind w:left="0"/>
        <w:jc w:val="both"/>
        <w:rPr>
          <w:sz w:val="28"/>
          <w:szCs w:val="28"/>
        </w:rPr>
      </w:pPr>
    </w:p>
    <w:sectPr w:rsidR="00D20907" w:rsidRPr="00A32D35" w:rsidSect="004053B9">
      <w:type w:val="continuous"/>
      <w:pgSz w:w="11900" w:h="16840"/>
      <w:pgMar w:top="284" w:right="397" w:bottom="284" w:left="39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EC" w:rsidRDefault="00DF7CEC">
      <w:r>
        <w:separator/>
      </w:r>
    </w:p>
  </w:endnote>
  <w:endnote w:type="continuationSeparator" w:id="0">
    <w:p w:rsidR="00DF7CEC" w:rsidRDefault="00DF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EC" w:rsidRDefault="00DF7CEC"/>
  </w:footnote>
  <w:footnote w:type="continuationSeparator" w:id="0">
    <w:p w:rsidR="00DF7CEC" w:rsidRDefault="00DF7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7" w:rsidRDefault="000B2C48">
    <w:pPr>
      <w:spacing w:line="1" w:lineRule="exact"/>
    </w:pPr>
    <w:r>
      <w:rPr>
        <w:noProof/>
        <w:lang w:bidi="ar-SA"/>
      </w:rPr>
      <mc:AlternateContent>
        <mc:Choice Requires="wps">
          <w:drawing>
            <wp:anchor distT="0" distB="0" distL="0" distR="0" simplePos="0" relativeHeight="62914691" behindDoc="1" locked="0" layoutInCell="1" allowOverlap="1" wp14:anchorId="0AC405A7" wp14:editId="1D1982AE">
              <wp:simplePos x="0" y="0"/>
              <wp:positionH relativeFrom="page">
                <wp:posOffset>3969385</wp:posOffset>
              </wp:positionH>
              <wp:positionV relativeFrom="page">
                <wp:posOffset>605155</wp:posOffset>
              </wp:positionV>
              <wp:extent cx="4572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86995"/>
                      </a:xfrm>
                      <a:prstGeom prst="rect">
                        <a:avLst/>
                      </a:prstGeom>
                      <a:noFill/>
                    </wps:spPr>
                    <wps:txbx>
                      <w:txbxContent>
                        <w:p w:rsidR="00D20907" w:rsidRDefault="000B2C48">
                          <w:pPr>
                            <w:pStyle w:val="22"/>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2.55pt;margin-top:47.65pt;width:3.6pt;height:6.8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" filled="f" stroked="f">
              <v:textbox style="mso-fit-shape-to-text:t" inset="0,0,0,0">
                <w:txbxContent>
                  <w:p w:rsidR="00D20907" w:rsidRDefault="000B2C48">
                    <w:pPr>
                      <w:pStyle w:val="22"/>
                      <w:rPr>
                        <w:sz w:val="19"/>
                        <w:szCs w:val="19"/>
                      </w:rPr>
                    </w:pPr>
                    <w:r>
                      <w:rPr>
                        <w:sz w:val="19"/>
                        <w:szCs w:val="19"/>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07" w:rsidRDefault="00D2090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A71EC"/>
    <w:multiLevelType w:val="hybridMultilevel"/>
    <w:tmpl w:val="F9FAA87E"/>
    <w:lvl w:ilvl="0" w:tplc="C8F61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20907"/>
    <w:rsid w:val="000B2C48"/>
    <w:rsid w:val="00365285"/>
    <w:rsid w:val="003A1A90"/>
    <w:rsid w:val="004053B9"/>
    <w:rsid w:val="006F1F90"/>
    <w:rsid w:val="00845D46"/>
    <w:rsid w:val="008B0E92"/>
    <w:rsid w:val="00A32D35"/>
    <w:rsid w:val="00C253C6"/>
    <w:rsid w:val="00D20907"/>
    <w:rsid w:val="00D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30">
    <w:name w:val="Основной текст (3)"/>
    <w:basedOn w:val="a"/>
    <w:link w:val="3"/>
    <w:pPr>
      <w:spacing w:after="100"/>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Pr>
      <w:rFonts w:ascii="Times New Roman" w:eastAsia="Times New Roman" w:hAnsi="Times New Roman" w:cs="Times New Roman"/>
      <w:sz w:val="19"/>
      <w:szCs w:val="19"/>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Основной текст (4)"/>
    <w:basedOn w:val="a"/>
    <w:link w:val="4"/>
    <w:pPr>
      <w:spacing w:after="60"/>
      <w:ind w:left="1940"/>
    </w:pPr>
    <w:rPr>
      <w:rFonts w:ascii="Times New Roman" w:eastAsia="Times New Roman" w:hAnsi="Times New Roman" w:cs="Times New Roman"/>
      <w:sz w:val="17"/>
      <w:szCs w:val="17"/>
    </w:rPr>
  </w:style>
  <w:style w:type="paragraph" w:styleId="a4">
    <w:name w:val="List Paragraph"/>
    <w:basedOn w:val="a"/>
    <w:uiPriority w:val="34"/>
    <w:qFormat/>
    <w:rsid w:val="00845D46"/>
    <w:pPr>
      <w:ind w:left="720"/>
      <w:contextualSpacing/>
    </w:pPr>
  </w:style>
  <w:style w:type="paragraph" w:customStyle="1" w:styleId="dt-p">
    <w:name w:val="dt-p"/>
    <w:basedOn w:val="a"/>
    <w:rsid w:val="00A32D3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rsid w:val="00A32D35"/>
  </w:style>
  <w:style w:type="character" w:customStyle="1" w:styleId="dt-r">
    <w:name w:val="dt-r"/>
    <w:basedOn w:val="a0"/>
    <w:rsid w:val="00A32D35"/>
  </w:style>
  <w:style w:type="character" w:styleId="a5">
    <w:name w:val="Hyperlink"/>
    <w:basedOn w:val="a0"/>
    <w:uiPriority w:val="99"/>
    <w:semiHidden/>
    <w:unhideWhenUsed/>
    <w:rsid w:val="00A32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30">
    <w:name w:val="Основной текст (3)"/>
    <w:basedOn w:val="a"/>
    <w:link w:val="3"/>
    <w:pPr>
      <w:spacing w:after="100"/>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Pr>
      <w:rFonts w:ascii="Times New Roman" w:eastAsia="Times New Roman" w:hAnsi="Times New Roman" w:cs="Times New Roman"/>
      <w:sz w:val="19"/>
      <w:szCs w:val="19"/>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Основной текст (4)"/>
    <w:basedOn w:val="a"/>
    <w:link w:val="4"/>
    <w:pPr>
      <w:spacing w:after="60"/>
      <w:ind w:left="1940"/>
    </w:pPr>
    <w:rPr>
      <w:rFonts w:ascii="Times New Roman" w:eastAsia="Times New Roman" w:hAnsi="Times New Roman" w:cs="Times New Roman"/>
      <w:sz w:val="17"/>
      <w:szCs w:val="17"/>
    </w:rPr>
  </w:style>
  <w:style w:type="paragraph" w:styleId="a4">
    <w:name w:val="List Paragraph"/>
    <w:basedOn w:val="a"/>
    <w:uiPriority w:val="34"/>
    <w:qFormat/>
    <w:rsid w:val="00845D46"/>
    <w:pPr>
      <w:ind w:left="720"/>
      <w:contextualSpacing/>
    </w:pPr>
  </w:style>
  <w:style w:type="paragraph" w:customStyle="1" w:styleId="dt-p">
    <w:name w:val="dt-p"/>
    <w:basedOn w:val="a"/>
    <w:rsid w:val="00A32D3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rsid w:val="00A32D35"/>
  </w:style>
  <w:style w:type="character" w:customStyle="1" w:styleId="dt-r">
    <w:name w:val="dt-r"/>
    <w:basedOn w:val="a0"/>
    <w:rsid w:val="00A32D35"/>
  </w:style>
  <w:style w:type="character" w:styleId="a5">
    <w:name w:val="Hyperlink"/>
    <w:basedOn w:val="a0"/>
    <w:uiPriority w:val="99"/>
    <w:semiHidden/>
    <w:unhideWhenUsed/>
    <w:rsid w:val="00A32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634351690A39B00019A7EEA844671F69B818BFB08444A779DD12FE613572098714A489873398FO5f8A"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2024-03-20T01:40:00Z</dcterms:created>
  <dcterms:modified xsi:type="dcterms:W3CDTF">2024-03-20T04:03:00Z</dcterms:modified>
</cp:coreProperties>
</file>