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77" w:rsidRPr="00B74F77" w:rsidRDefault="00B74F77" w:rsidP="00B74F77">
      <w:pPr>
        <w:autoSpaceDE w:val="0"/>
        <w:autoSpaceDN w:val="0"/>
        <w:adjustRightInd w:val="0"/>
        <w:spacing w:after="0" w:line="240" w:lineRule="auto"/>
        <w:jc w:val="center"/>
        <w:outlineLvl w:val="0"/>
        <w:rPr>
          <w:rFonts w:ascii="Times New Roman" w:hAnsi="Times New Roman" w:cs="Times New Roman"/>
          <w:sz w:val="28"/>
          <w:szCs w:val="28"/>
        </w:rPr>
      </w:pPr>
      <w:bookmarkStart w:id="0" w:name="_GoBack"/>
      <w:bookmarkEnd w:id="0"/>
      <w:r w:rsidRPr="00B74F77">
        <w:rPr>
          <w:rFonts w:ascii="Times New Roman" w:hAnsi="Times New Roman" w:cs="Times New Roman"/>
          <w:b/>
          <w:bCs/>
          <w:sz w:val="28"/>
          <w:szCs w:val="28"/>
        </w:rPr>
        <w:t>КАК ОПЛАТИТЬ ВРЕМЯ ОТСУТСТВИЯ БЕРЕМЕННОЙ НА РАБОТЕ,</w:t>
      </w:r>
    </w:p>
    <w:p w:rsidR="00B74F77" w:rsidRPr="00B74F77" w:rsidRDefault="00B74F77" w:rsidP="00B74F77">
      <w:pPr>
        <w:autoSpaceDE w:val="0"/>
        <w:autoSpaceDN w:val="0"/>
        <w:adjustRightInd w:val="0"/>
        <w:spacing w:after="0" w:line="240" w:lineRule="auto"/>
        <w:jc w:val="center"/>
        <w:rPr>
          <w:rFonts w:ascii="Times New Roman" w:hAnsi="Times New Roman" w:cs="Times New Roman"/>
          <w:sz w:val="28"/>
          <w:szCs w:val="28"/>
        </w:rPr>
      </w:pPr>
      <w:r w:rsidRPr="00B74F77">
        <w:rPr>
          <w:rFonts w:ascii="Times New Roman" w:hAnsi="Times New Roman" w:cs="Times New Roman"/>
          <w:b/>
          <w:bCs/>
          <w:sz w:val="28"/>
          <w:szCs w:val="28"/>
        </w:rPr>
        <w:t>ЕСЛИ ОНА ПОСЕЩАЛА ВРАЧА</w:t>
      </w:r>
    </w:p>
    <w:p w:rsidR="00B74F77" w:rsidRDefault="00B74F77" w:rsidP="00B74F77">
      <w:pPr>
        <w:autoSpaceDE w:val="0"/>
        <w:autoSpaceDN w:val="0"/>
        <w:adjustRightInd w:val="0"/>
        <w:spacing w:after="0" w:line="240" w:lineRule="auto"/>
        <w:jc w:val="both"/>
        <w:rPr>
          <w:rFonts w:ascii="Calibri" w:hAnsi="Calibri" w:cs="Calibri"/>
        </w:rPr>
      </w:pP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Время диспансерного обследования оплачивается в размере среднего заработка, поэтому в табеле учета рабочего времени (форма N Т-12 или N Т-13) оно фиксируется отдельно от рабочего времени.</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Поскольку табель не содержит буквенного или цифрового кода для обозначения времени диспансерного обследования, работодатель вправе издать приказ, на основании которого унифицированная форма табеля будет дополнена новым условным обозначением. Порядок применения унифицированных форм первичной учетной документации (утв. Постановлением Госкомстата России от 24.03.1999 N 20) предусматривает возможность внесения дополнительных реквизитов в данные формы (за исключением форм по учету кассовых операций). Например, графа 4 формы N Т-13 табеля учета рабочего времени может быть дополнена двумя строками, в которых указывается буквенный или цифровой код и продолжительность времени, затраченного на диспансерное обследование.</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p>
    <w:sectPr w:rsidR="00B74F77" w:rsidRPr="00B74F77" w:rsidSect="00364E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B3"/>
    <w:rsid w:val="000D0236"/>
    <w:rsid w:val="00364E6E"/>
    <w:rsid w:val="00413397"/>
    <w:rsid w:val="00AA73B3"/>
    <w:rsid w:val="00B74F77"/>
    <w:rsid w:val="00D1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user</cp:lastModifiedBy>
  <cp:revision>5</cp:revision>
  <dcterms:created xsi:type="dcterms:W3CDTF">2020-07-13T01:28:00Z</dcterms:created>
  <dcterms:modified xsi:type="dcterms:W3CDTF">2021-11-18T05:47:00Z</dcterms:modified>
</cp:coreProperties>
</file>