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pBdr/>
        <w:spacing w:before="322" w:after="322"/>
        <w:ind w:left="0" w:right="0" w:hanging="0"/>
        <w:jc w:val="center"/>
        <w:outlineLvl w:val="0"/>
        <w:rPr>
          <w:sz w:val="36"/>
        </w:rPr>
      </w:pPr>
      <w:r>
        <w:rPr>
          <w:rFonts w:eastAsia="Times New Roman" w:cs="Times New Roman" w:ascii="Times New Roman" w:hAnsi="Times New Roman"/>
          <w:b/>
          <w:color w:val="000000"/>
          <w:sz w:val="36"/>
        </w:rPr>
        <w:t>Об обязательном выделении долей всем членам семьи при использовании материнского капитала</w:t>
      </w:r>
    </w:p>
    <w:p>
      <w:pPr>
        <w:pStyle w:val="Normal"/>
        <w:pBdr/>
        <w:spacing w:lineRule="auto" w:line="240" w:before="240" w:after="240"/>
        <w:ind w:left="0" w:right="0" w:firstLine="708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Приобретение жилья - самое востребованное направление расходования средств материнского капитала. </w:t>
      </w:r>
    </w:p>
    <w:p>
      <w:pPr>
        <w:pStyle w:val="Normal"/>
        <w:pBdr/>
        <w:spacing w:lineRule="auto" w:line="240" w:before="240" w:after="240"/>
        <w:ind w:left="0" w:right="0" w:firstLine="708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Один из важных моментов, который следует иметь в виду, касается выделения долей в приобретаемой за счет средств материнского капитала недвижимости. Так, граждане обязаны выделять доли всем членам семьи: супруге, супругу и детям. Если процедура выделения долей не была проведена, это признаётся нарушением закона.</w:t>
      </w:r>
    </w:p>
    <w:p>
      <w:pPr>
        <w:pStyle w:val="Normal"/>
        <w:pBdr/>
        <w:spacing w:before="240" w:after="240"/>
        <w:ind w:left="0" w:right="0" w:firstLine="708"/>
        <w:jc w:val="both"/>
        <w:rPr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В 2020 году для владельцев сертификатов было отменено предоставление в ПФР нотариального обязательства об оформлении жилого помещения в общую собственность семьи. Но при этом жилое помещение, приобретённое, построенное, реконструированное на средства материнского капитала, в любом случае должно быть оформлено в общую собственность родителей и детей. Законность таких сделок с недвижимостью проверяется прокуратурой.</w:t>
      </w:r>
    </w:p>
    <w:p>
      <w:pPr>
        <w:pStyle w:val="Normal"/>
        <w:pBdr/>
        <w:spacing w:before="240" w:after="240"/>
        <w:ind w:left="0" w:right="0" w:firstLine="708"/>
        <w:jc w:val="both"/>
        <w:rPr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Доли необходимо выделить в течение 6 месяцев после погашения ипотеки или приобретения жилья по договору купли-продажи, но не ранее снятия обременения с жилого помещения.</w:t>
      </w:r>
    </w:p>
    <w:p>
      <w:pPr>
        <w:pStyle w:val="Normal"/>
        <w:pBdr/>
        <w:spacing w:before="240" w:after="240"/>
        <w:ind w:left="0" w:right="0" w:firstLine="708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Размеры долей семья распределяет самостоятельно. Соглашение об их выделении можно составить в произвольной форме, но далее его необходимо заверить у нотариуса.</w:t>
      </w:r>
    </w:p>
    <w:p>
      <w:pPr>
        <w:pStyle w:val="Normal"/>
        <w:pBdr/>
        <w:spacing w:before="240" w:after="240"/>
        <w:ind w:left="0" w:right="0" w:firstLine="708"/>
        <w:jc w:val="both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eastAsia="Times New Roman" w:cs="Times New Roman" w:ascii="Times New Roman" w:hAnsi="Times New Roman"/>
          <w:color w:val="000000"/>
          <w:sz w:val="24"/>
        </w:rPr>
      </w:r>
    </w:p>
    <w:p>
      <w:pPr>
        <w:pStyle w:val="Normal"/>
        <w:pBdr/>
        <w:spacing w:before="240" w:after="240"/>
        <w:ind w:left="0" w:right="0" w:firstLine="708"/>
        <w:jc w:val="center"/>
        <w:rPr>
          <w:rFonts w:ascii="Times New Roman" w:hAnsi="Times New Roman" w:eastAsia="Times New Roman" w:cs="Times New Roman"/>
          <w:sz w:val="24"/>
        </w:rPr>
      </w:pPr>
      <w:r>
        <w:rPr/>
        <w:drawing>
          <wp:inline distT="0" distB="0" distL="0" distR="0">
            <wp:extent cx="3183890" cy="28041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709" w:footer="0" w:bottom="255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Sans">
    <w:charset w:val="01"/>
    <w:family w:val="swiss"/>
    <w:pitch w:val="default"/>
  </w:font>
  <w:font w:name="Arial">
    <w:charset w:val="01"/>
    <w:family w:val="swiss"/>
    <w:pitch w:val="default"/>
  </w:font>
  <w:font w:name="Times New Roman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Sans" w:hAnsi="PT Sans" w:eastAsia="PT Sans" w:cs="PT Sans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Sans" w:hAnsi="PT Sans" w:eastAsia="PT Sans" w:cs="PT Sans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635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link w:val="637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link w:val="639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link w:val="641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link w:val="643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link w:val="645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link w:val="647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link w:val="649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link w:val="651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link w:val="634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link w:val="636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link w:val="638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link w:val="64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link w:val="642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link w:val="644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link w:val="646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link w:val="648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link w:val="650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link w:val="652"/>
    <w:uiPriority w:val="10"/>
    <w:qFormat/>
    <w:rPr>
      <w:sz w:val="48"/>
      <w:szCs w:val="48"/>
    </w:rPr>
  </w:style>
  <w:style w:type="character" w:styleId="SubtitleChar">
    <w:name w:val="Subtitle Char"/>
    <w:link w:val="654"/>
    <w:uiPriority w:val="11"/>
    <w:qFormat/>
    <w:rPr>
      <w:sz w:val="24"/>
      <w:szCs w:val="24"/>
    </w:rPr>
  </w:style>
  <w:style w:type="character" w:styleId="QuoteChar">
    <w:name w:val="Quote Char"/>
    <w:link w:val="656"/>
    <w:uiPriority w:val="29"/>
    <w:qFormat/>
    <w:rPr>
      <w:i/>
    </w:rPr>
  </w:style>
  <w:style w:type="character" w:styleId="IntenseQuoteChar">
    <w:name w:val="Intense Quote Char"/>
    <w:link w:val="658"/>
    <w:uiPriority w:val="30"/>
    <w:qFormat/>
    <w:rPr>
      <w:i/>
    </w:rPr>
  </w:style>
  <w:style w:type="character" w:styleId="HeaderChar">
    <w:name w:val="Header Char"/>
    <w:link w:val="660"/>
    <w:uiPriority w:val="99"/>
    <w:qFormat/>
    <w:rPr/>
  </w:style>
  <w:style w:type="character" w:styleId="FooterChar">
    <w:name w:val="Footer Char"/>
    <w:link w:val="662"/>
    <w:uiPriority w:val="99"/>
    <w:qFormat/>
    <w:rPr/>
  </w:style>
  <w:style w:type="character" w:styleId="CaptionChar">
    <w:name w:val="Caption Char"/>
    <w:link w:val="662"/>
    <w:uiPriority w:val="99"/>
    <w:qFormat/>
    <w:rPr/>
  </w:style>
  <w:style w:type="character" w:styleId="Style5">
    <w:name w:val="Интернет-ссылка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793"/>
    <w:uiPriority w:val="99"/>
    <w:qFormat/>
    <w:rPr>
      <w:sz w:val="18"/>
    </w:rPr>
  </w:style>
  <w:style w:type="character" w:styleId="Style6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796"/>
    <w:uiPriority w:val="99"/>
    <w:qFormat/>
    <w:rPr>
      <w:sz w:val="20"/>
    </w:rPr>
  </w:style>
  <w:style w:type="character" w:styleId="Style7">
    <w:name w:val="Привязка концевой сноски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Sans" w:hAnsi="PT Sans" w:cs="Noto Sans Devanagari"/>
    </w:rPr>
  </w:style>
  <w:style w:type="paragraph" w:styleId="Style11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2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13">
    <w:name w:val="Title"/>
    <w:basedOn w:val="Normal"/>
    <w:link w:val="653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4">
    <w:name w:val="Subtitle"/>
    <w:basedOn w:val="Normal"/>
    <w:link w:val="655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657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65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spacing w:before="0" w:after="200"/>
      <w:ind w:left="720" w:right="720" w:hanging="0"/>
    </w:pPr>
    <w:rPr>
      <w:i/>
    </w:rPr>
  </w:style>
  <w:style w:type="paragraph" w:styleId="Style15">
    <w:name w:val="Верхний и нижний колонтитулы"/>
    <w:basedOn w:val="Normal"/>
    <w:qFormat/>
    <w:pPr/>
    <w:rPr/>
  </w:style>
  <w:style w:type="paragraph" w:styleId="Style16">
    <w:name w:val="Header"/>
    <w:basedOn w:val="Normal"/>
    <w:link w:val="661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7">
    <w:name w:val="Footer"/>
    <w:basedOn w:val="Normal"/>
    <w:link w:val="665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note Text"/>
    <w:basedOn w:val="Normal"/>
    <w:link w:val="794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19">
    <w:name w:val="Endnote Text"/>
    <w:basedOn w:val="Normal"/>
    <w:link w:val="797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Sans" w:hAnsi="PT Sans" w:eastAsia="PT Sans" w:cs="PT Sans"/>
      <w:color w:val="auto"/>
      <w:kern w:val="0"/>
      <w:sz w:val="22"/>
      <w:szCs w:val="22"/>
      <w:lang w:val="ru-RU" w:eastAsia="en-US" w:bidi="ar-SA"/>
    </w:rPr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LibreOffice/6.4.4.2$Linux_X86_64 LibreOffice_project/40$Build-2</Application>
  <Pages>1</Pages>
  <Words>161</Words>
  <Characters>1088</Characters>
  <CharactersWithSpaces>1244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2022-11-24T05:45:54Z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