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exact" w:line="240"/>
        <w:rPr>
          <w:b/>
          <w:b/>
        </w:rPr>
      </w:pPr>
      <w:r>
        <w:rPr>
          <w:b/>
        </w:rPr>
        <w:t>В личных кабинетах юрлица и индивидуального предпринимателя появился раздел с доверенностями</w:t>
      </w:r>
    </w:p>
    <w:p>
      <w:pPr>
        <w:pStyle w:val="Style21"/>
        <w:spacing w:lineRule="exact" w:line="240"/>
        <w:rPr/>
      </w:pPr>
      <w:bookmarkStart w:id="0" w:name="_GoBack"/>
      <w:bookmarkEnd w:id="0"/>
      <w:r>
        <w:rPr/>
        <w:t>Раздел «Доверенности» появился в сервисах «Личный кабинет налогоплательщика ЮЛ» и «Личный кабинет налогоплательщика ИП».</w:t>
      </w:r>
    </w:p>
    <w:p>
      <w:pPr>
        <w:pStyle w:val="Style21"/>
        <w:spacing w:lineRule="exact" w:line="240"/>
        <w:rPr/>
      </w:pPr>
      <w:r>
        <w:rPr/>
        <w:t>В этом разделе будут размещены доверенности для взаимодействия с налоговыми органами, где пользователь является доверителем либо доверенным лицом, с разделением на соответствующие вкладки «Доверитель» и «Представитель» с удобной фильтрацией. Визуализируется карточка доверенности с детализацией данных и актуальным статусом по ней.</w:t>
      </w:r>
    </w:p>
    <w:p>
      <w:pPr>
        <w:pStyle w:val="Style21"/>
        <w:spacing w:lineRule="exact" w:line="240"/>
        <w:rPr/>
      </w:pPr>
      <w:r>
        <w:rPr/>
        <w:t>В перечне будут визуализироваться бумажные доверенности, поданные непосредственно в налоговом органе или направленные по почте, и электронные, созданные по утвержденному Федеральной налоговой службой формату и поданные через оператора ЭДО. Также в разделе будут размещены машиночитаемые доверенности, поданные через ЦПРР.</w:t>
      </w:r>
    </w:p>
    <w:p>
      <w:pPr>
        <w:pStyle w:val="Style21"/>
        <w:spacing w:lineRule="exact" w:line="240"/>
        <w:rPr/>
      </w:pPr>
      <w:r>
        <w:rPr/>
        <w:t>При необходимости пользователь личного кабинета может отозвать свою электронную доверенность. Для отмены бумажных доверенностей необходимо обращаться лично в налоговый орган.</w:t>
      </w:r>
    </w:p>
    <w:p>
      <w:pPr>
        <w:pStyle w:val="Style21"/>
        <w:spacing w:lineRule="exact" w:line="240"/>
        <w:rPr/>
      </w:pPr>
      <w:hyperlink r:id="rId2">
        <w:r>
          <w:rPr/>
          <w:t>https://www.nalog.gov.ru/rn77/news/activities_fts/14010037/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950a72"/>
    <w:rPr>
      <w:rFonts w:cs="Times New Roman"/>
      <w:color w:val="0000FF"/>
      <w:u w:val="single"/>
    </w:rPr>
  </w:style>
  <w:style w:type="character" w:styleId="Style15" w:customStyle="1">
    <w:name w:val="мониторинг Знак"/>
    <w:basedOn w:val="DefaultParagraphFont"/>
    <w:link w:val="a4"/>
    <w:qFormat/>
    <w:rsid w:val="00950a72"/>
    <w:rPr>
      <w:rFonts w:ascii="Times New Roman" w:hAnsi="Times New Roman" w:eastAsia="Times New Roman" w:cs="Times New Roman"/>
      <w:sz w:val="26"/>
      <w:szCs w:val="2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 w:customStyle="1">
    <w:name w:val="мониторинг"/>
    <w:basedOn w:val="Normal"/>
    <w:link w:val="a5"/>
    <w:qFormat/>
    <w:rsid w:val="00950a72"/>
    <w:pPr>
      <w:spacing w:lineRule="exact" w:line="360" w:before="0" w:after="0"/>
      <w:jc w:val="both"/>
    </w:pPr>
    <w:rPr>
      <w:rFonts w:ascii="Times New Roman" w:hAnsi="Times New Roman" w:eastAsia="Times New Roman" w:cs="Times New Roman"/>
      <w:sz w:val="26"/>
      <w:szCs w:val="26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alog.gov.ru/rn77/news/activities_fts/14010037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LibreOffice/6.4.4.2$Linux_X86_64 LibreOffice_project/40$Build-2</Application>
  <Pages>1</Pages>
  <Words>125</Words>
  <Characters>978</Characters>
  <CharactersWithSpaces>1097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2023-11-29T22:50:00Z</dcterms:created>
  <dc:creator>Василенко Светлана Анатольевна</dc:creator>
  <dc:description/>
  <dc:language>ru-RU</dc:language>
  <cp:lastModifiedBy>Василенко Светлана Анатольевна</cp:lastModifiedBy>
  <dcterms:modified xsi:type="dcterms:W3CDTF">2023-11-29T22:51:00Z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