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B" w:rsidRPr="000F36BD" w:rsidRDefault="00E64C2B" w:rsidP="00E64C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36BD">
        <w:rPr>
          <w:rFonts w:ascii="Times New Roman" w:hAnsi="Times New Roman" w:cs="Times New Roman"/>
          <w:b/>
          <w:sz w:val="28"/>
          <w:szCs w:val="28"/>
        </w:rPr>
        <w:t>С 1 июля изменятся правила блокировки счетов ИП и юр</w:t>
      </w:r>
      <w:r w:rsidR="000F36BD" w:rsidRPr="000F36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36BD">
        <w:rPr>
          <w:rFonts w:ascii="Times New Roman" w:hAnsi="Times New Roman" w:cs="Times New Roman"/>
          <w:b/>
          <w:sz w:val="28"/>
          <w:szCs w:val="28"/>
        </w:rPr>
        <w:t>лиц</w:t>
      </w:r>
    </w:p>
    <w:bookmarkEnd w:id="0"/>
    <w:p w:rsidR="00E64C2B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С 1 июля 2022 г. банки и их клиенты будут взаимодействовать по новым правилам. Так, начнет работать «банковский светофор», который вводит Центробанк.</w:t>
      </w:r>
    </w:p>
    <w:p w:rsidR="00E64C2B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Все плательщики банков будут распределены на три категории риска, каждый из которых получит свой цвет – красный, желтый и зеленый.</w:t>
      </w:r>
    </w:p>
    <w:p w:rsidR="00E64C2B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Высокий уровень риска (красный цвет). Им будут обозначены компании и ИП, которые не ведут реальной деятельности, зарегистрированы на подставных физлиц или имеют другие признаки однодневок. Таким клиентам запрещено: открывать новые счета; проводить расходные операции, кроме уплаты налогов, зарплаты и других обязательных платежей; использовать электронные средства платежа и систему быстрых платежей; снимать со счета и класть на счет наличные; переводить средства на другой счет при расторжении договора.</w:t>
      </w:r>
    </w:p>
    <w:p w:rsidR="00E64C2B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 xml:space="preserve">Средний уровень риска (желтый цвет). </w:t>
      </w:r>
      <w:proofErr w:type="gramStart"/>
      <w:r w:rsidRPr="000F36BD">
        <w:rPr>
          <w:rFonts w:ascii="Times New Roman" w:hAnsi="Times New Roman" w:cs="Times New Roman"/>
          <w:sz w:val="28"/>
          <w:szCs w:val="28"/>
        </w:rPr>
        <w:t xml:space="preserve">К ним отнесут </w:t>
      </w:r>
      <w:proofErr w:type="spellStart"/>
      <w:r w:rsidRPr="000F36BD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F36BD">
        <w:rPr>
          <w:rFonts w:ascii="Times New Roman" w:hAnsi="Times New Roman" w:cs="Times New Roman"/>
          <w:sz w:val="28"/>
          <w:szCs w:val="28"/>
        </w:rPr>
        <w:t xml:space="preserve"> и ИП, которых банк подозревает в сомнительных операциях.</w:t>
      </w:r>
      <w:proofErr w:type="gramEnd"/>
      <w:r w:rsidRPr="000F36BD">
        <w:rPr>
          <w:rFonts w:ascii="Times New Roman" w:hAnsi="Times New Roman" w:cs="Times New Roman"/>
          <w:sz w:val="28"/>
          <w:szCs w:val="28"/>
        </w:rPr>
        <w:t xml:space="preserve"> Банк вправе отказать клиенту в открытии счета и проведении операций, если подозревает клиента в отмывании доходов или финансировании терроризма.</w:t>
      </w:r>
    </w:p>
    <w:p w:rsidR="00E64C2B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>Низкий уровень риска (зеленый цвет) нанесут на компании и ИП, которые «чисты», и ни в чем подозрительном не замечены. Банк не вправе отказать клиенту в открытии счета или переводе денег организации и ИП с низким уровнем риска.</w:t>
      </w:r>
    </w:p>
    <w:p w:rsidR="00FC5AEE" w:rsidRPr="000F36BD" w:rsidRDefault="00E64C2B" w:rsidP="00E64C2B">
      <w:pPr>
        <w:rPr>
          <w:rFonts w:ascii="Times New Roman" w:hAnsi="Times New Roman" w:cs="Times New Roman"/>
          <w:sz w:val="28"/>
          <w:szCs w:val="28"/>
        </w:rPr>
      </w:pPr>
      <w:r w:rsidRPr="000F36BD">
        <w:rPr>
          <w:rFonts w:ascii="Times New Roman" w:hAnsi="Times New Roman" w:cs="Times New Roman"/>
          <w:sz w:val="28"/>
          <w:szCs w:val="28"/>
        </w:rPr>
        <w:t xml:space="preserve">Таким образом, при приеме на обслуживание банки будут оценивать </w:t>
      </w:r>
      <w:proofErr w:type="gramStart"/>
      <w:r w:rsidRPr="000F36BD">
        <w:rPr>
          <w:rFonts w:ascii="Times New Roman" w:hAnsi="Times New Roman" w:cs="Times New Roman"/>
          <w:sz w:val="28"/>
          <w:szCs w:val="28"/>
        </w:rPr>
        <w:t>клиента</w:t>
      </w:r>
      <w:proofErr w:type="gramEnd"/>
      <w:r w:rsidRPr="000F36BD">
        <w:rPr>
          <w:rFonts w:ascii="Times New Roman" w:hAnsi="Times New Roman" w:cs="Times New Roman"/>
          <w:sz w:val="28"/>
          <w:szCs w:val="28"/>
        </w:rPr>
        <w:t xml:space="preserve"> и относить его к одному из перечисленных уровней рисков (Федеральный закон от 21.12.2021 № 423-ФЗ). Если клиенту присвоен высокий уровень риска, банк должен сообщить об этом в течение пяти рабочих дней. Далее банки будут обновлять информацию о клиентах с низким уровнем риска не реже одного раза в три года, а со средним и высоким уровнями риска – не реже чем один раз в год.</w:t>
      </w:r>
    </w:p>
    <w:sectPr w:rsidR="00FC5AEE" w:rsidRPr="000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B"/>
    <w:rsid w:val="000F36BD"/>
    <w:rsid w:val="00E64C2B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2022-06-23T06:58:00Z</dcterms:created>
  <dcterms:modified xsi:type="dcterms:W3CDTF">2022-06-24T05:46:00Z</dcterms:modified>
</cp:coreProperties>
</file>