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63" w:rsidRPr="00A22C63" w:rsidRDefault="00A22C63" w:rsidP="00A22C63">
      <w:pPr>
        <w:autoSpaceDE w:val="0"/>
        <w:autoSpaceDN w:val="0"/>
        <w:adjustRightInd w:val="0"/>
        <w:spacing w:after="0" w:line="240" w:lineRule="auto"/>
        <w:jc w:val="center"/>
        <w:rPr>
          <w:rFonts w:ascii="Times New Roman" w:hAnsi="Times New Roman" w:cs="Times New Roman"/>
          <w:b/>
          <w:bCs/>
          <w:color w:val="000000"/>
          <w:sz w:val="26"/>
          <w:szCs w:val="26"/>
        </w:rPr>
      </w:pPr>
      <w:r w:rsidRPr="00A22C63">
        <w:rPr>
          <w:rFonts w:ascii="Times New Roman" w:hAnsi="Times New Roman" w:cs="Times New Roman"/>
          <w:b/>
          <w:bCs/>
          <w:color w:val="000000"/>
          <w:sz w:val="26"/>
          <w:szCs w:val="26"/>
        </w:rPr>
        <w:t>Разъ</w:t>
      </w:r>
      <w:bookmarkStart w:id="0" w:name="_GoBack"/>
      <w:bookmarkEnd w:id="0"/>
      <w:r w:rsidRPr="00A22C63">
        <w:rPr>
          <w:rFonts w:ascii="Times New Roman" w:hAnsi="Times New Roman" w:cs="Times New Roman"/>
          <w:b/>
          <w:bCs/>
          <w:color w:val="000000"/>
          <w:sz w:val="26"/>
          <w:szCs w:val="26"/>
        </w:rPr>
        <w:t>яснены нюансы предоставления имущественного вычета на приобретенную в долевую собственность недвижимость</w:t>
      </w:r>
    </w:p>
    <w:p w:rsidR="00A22C63" w:rsidRDefault="00A22C63" w:rsidP="00A22C63">
      <w:pPr>
        <w:autoSpaceDE w:val="0"/>
        <w:autoSpaceDN w:val="0"/>
        <w:adjustRightInd w:val="0"/>
        <w:spacing w:after="0" w:line="240" w:lineRule="auto"/>
        <w:ind w:firstLine="708"/>
        <w:jc w:val="both"/>
        <w:rPr>
          <w:rFonts w:ascii="Times New Roman" w:hAnsi="Times New Roman" w:cs="Times New Roman"/>
          <w:color w:val="000000"/>
          <w:sz w:val="26"/>
          <w:szCs w:val="26"/>
          <w:lang w:val="en-US"/>
        </w:rPr>
      </w:pPr>
    </w:p>
    <w:p w:rsidR="00A22C63" w:rsidRPr="00A22C63" w:rsidRDefault="00A22C63" w:rsidP="00A22C63">
      <w:pPr>
        <w:autoSpaceDE w:val="0"/>
        <w:autoSpaceDN w:val="0"/>
        <w:adjustRightInd w:val="0"/>
        <w:spacing w:after="0" w:line="360" w:lineRule="auto"/>
        <w:ind w:firstLine="708"/>
        <w:jc w:val="both"/>
        <w:rPr>
          <w:rFonts w:ascii="Times New Roman" w:hAnsi="Times New Roman" w:cs="Times New Roman"/>
          <w:color w:val="000000"/>
          <w:sz w:val="26"/>
          <w:szCs w:val="26"/>
        </w:rPr>
      </w:pPr>
      <w:r w:rsidRPr="00A22C63">
        <w:rPr>
          <w:rFonts w:ascii="Times New Roman" w:hAnsi="Times New Roman" w:cs="Times New Roman"/>
          <w:color w:val="000000"/>
          <w:sz w:val="26"/>
          <w:szCs w:val="26"/>
        </w:rPr>
        <w:t>Если недвижимое имущество приобретено в общую долевую собственность, размер имущественного вычета распределяется между совладельцами в соответствии с их долями. При этом отказаться от уже полученного вычета, а также передать право на получение его или остатка другим лицам налогоплательщик не может, так как это не предусмотрено нормами налогового законодательства. К такому выводу пришла ФНС России при рассмотрении жалобы.</w:t>
      </w:r>
    </w:p>
    <w:p w:rsidR="00A22C63" w:rsidRPr="00A22C63" w:rsidRDefault="00A22C63" w:rsidP="00A22C63">
      <w:pPr>
        <w:autoSpaceDE w:val="0"/>
        <w:autoSpaceDN w:val="0"/>
        <w:adjustRightInd w:val="0"/>
        <w:spacing w:after="0" w:line="360" w:lineRule="auto"/>
        <w:ind w:firstLine="708"/>
        <w:jc w:val="both"/>
        <w:rPr>
          <w:rFonts w:ascii="Times New Roman" w:hAnsi="Times New Roman" w:cs="Times New Roman"/>
          <w:color w:val="000000"/>
          <w:sz w:val="26"/>
          <w:szCs w:val="26"/>
        </w:rPr>
      </w:pPr>
      <w:r w:rsidRPr="00A22C63">
        <w:rPr>
          <w:rFonts w:ascii="Times New Roman" w:hAnsi="Times New Roman" w:cs="Times New Roman"/>
          <w:color w:val="000000"/>
          <w:sz w:val="26"/>
          <w:szCs w:val="26"/>
        </w:rPr>
        <w:t>По результатам камеральной проверки декларации по НДФЛ инспекция отказала в предоставлении имущественного налогового вычета на часть доли супруга в приобретенном имуществе. Она указала, что ранее заявителю был в полном объеме предоставлен такой вычет за 2012-2015 годы в связи с приобретением им 1/2 доли земельного участка и 1/2 доли жилого дома.</w:t>
      </w:r>
    </w:p>
    <w:p w:rsidR="00A22C63" w:rsidRPr="00A22C63" w:rsidRDefault="00A22C63" w:rsidP="00A22C63">
      <w:pPr>
        <w:autoSpaceDE w:val="0"/>
        <w:autoSpaceDN w:val="0"/>
        <w:adjustRightInd w:val="0"/>
        <w:spacing w:after="0" w:line="360" w:lineRule="auto"/>
        <w:ind w:firstLine="708"/>
        <w:jc w:val="both"/>
        <w:rPr>
          <w:rFonts w:ascii="Times New Roman" w:hAnsi="Times New Roman" w:cs="Times New Roman"/>
          <w:color w:val="000000"/>
          <w:sz w:val="26"/>
          <w:szCs w:val="26"/>
        </w:rPr>
      </w:pPr>
      <w:r w:rsidRPr="00A22C63">
        <w:rPr>
          <w:rFonts w:ascii="Times New Roman" w:hAnsi="Times New Roman" w:cs="Times New Roman"/>
          <w:color w:val="000000"/>
          <w:sz w:val="26"/>
          <w:szCs w:val="26"/>
        </w:rPr>
        <w:t>Налогоплательщик с решением не согласился и обратился с жалобой в ФНС России. Он указал, что налоговый орган необоснованно отказал в перераспределении расходов долей супругов и незаконно ограничил его право на получение налогового вычета.</w:t>
      </w:r>
    </w:p>
    <w:p w:rsidR="00A22C63" w:rsidRPr="00A22C63" w:rsidRDefault="00A22C63" w:rsidP="00A22C63">
      <w:pPr>
        <w:autoSpaceDE w:val="0"/>
        <w:autoSpaceDN w:val="0"/>
        <w:adjustRightInd w:val="0"/>
        <w:spacing w:after="0" w:line="360" w:lineRule="auto"/>
        <w:ind w:firstLine="708"/>
        <w:jc w:val="both"/>
        <w:rPr>
          <w:rFonts w:ascii="Times New Roman" w:hAnsi="Times New Roman" w:cs="Times New Roman"/>
          <w:color w:val="000000"/>
          <w:sz w:val="26"/>
          <w:szCs w:val="26"/>
        </w:rPr>
      </w:pPr>
      <w:r w:rsidRPr="00A22C63">
        <w:rPr>
          <w:rFonts w:ascii="Times New Roman" w:hAnsi="Times New Roman" w:cs="Times New Roman"/>
          <w:color w:val="000000"/>
          <w:sz w:val="26"/>
          <w:szCs w:val="26"/>
        </w:rPr>
        <w:t>ФНС России отказала в удовлетворении жалобы. Она указала, что после предоставления обоим супругам имущественного вычета за 2012-2015 годы его перераспределение или перераспределение остатка по заявлению налогоплательщиков не допускается. Возможность отказа от уже полученного имущественного вычета действующим законодательством не предусмотрена. ФНС России также обратила внимание на то, что процентные и долевые соотношения для получения вычета определяются единожды при подаче декларации и заявления на его получение. Пересмотр этих параметров в дальнейшем законодательством не предусмотрен.</w:t>
      </w:r>
    </w:p>
    <w:p w:rsidR="00B554F8" w:rsidRPr="003F2D9D" w:rsidRDefault="00B554F8" w:rsidP="003F2D9D">
      <w:pPr>
        <w:autoSpaceDE w:val="0"/>
        <w:autoSpaceDN w:val="0"/>
        <w:adjustRightInd w:val="0"/>
        <w:spacing w:after="0" w:line="360" w:lineRule="auto"/>
        <w:ind w:firstLine="708"/>
        <w:jc w:val="both"/>
        <w:rPr>
          <w:rFonts w:ascii="Times New Roman" w:hAnsi="Times New Roman" w:cs="Times New Roman"/>
          <w:color w:val="000000"/>
          <w:sz w:val="26"/>
          <w:szCs w:val="26"/>
        </w:rPr>
      </w:pPr>
    </w:p>
    <w:sectPr w:rsidR="00B554F8" w:rsidRPr="003F2D9D" w:rsidSect="00B121D2">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D2"/>
    <w:rsid w:val="0015765B"/>
    <w:rsid w:val="00197B1A"/>
    <w:rsid w:val="003F2D9D"/>
    <w:rsid w:val="005B5FAB"/>
    <w:rsid w:val="00711841"/>
    <w:rsid w:val="009020F5"/>
    <w:rsid w:val="009607C9"/>
    <w:rsid w:val="00995604"/>
    <w:rsid w:val="009B05FC"/>
    <w:rsid w:val="00A22C63"/>
    <w:rsid w:val="00B121D2"/>
    <w:rsid w:val="00B554F8"/>
    <w:rsid w:val="00E4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3F2D9D"/>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3F2D9D"/>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3F2D9D"/>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3F2D9D"/>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2022-02-21T04:03:00Z</cp:lastPrinted>
  <dcterms:created xsi:type="dcterms:W3CDTF">2022-02-21T04:04:00Z</dcterms:created>
  <dcterms:modified xsi:type="dcterms:W3CDTF">2022-02-21T04:04:00Z</dcterms:modified>
</cp:coreProperties>
</file>