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02" w:rsidRDefault="00BD0002" w:rsidP="003F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ФНС уточнила нюансы заполнения формы 6-НДФЛ за 2021 год</w:t>
      </w:r>
    </w:p>
    <w:p w:rsidR="003F1299" w:rsidRDefault="003F1299" w:rsidP="00BD0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3F1299" w:rsidRPr="003F1299" w:rsidRDefault="00BD0002" w:rsidP="003F12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Налоговики пояснили особенности исчислении налога на доходы физлиц, и заполнен</w:t>
      </w:r>
      <w:r w:rsidR="003F1299">
        <w:rPr>
          <w:rFonts w:ascii="Times New Roman" w:hAnsi="Times New Roman" w:cs="Times New Roman"/>
          <w:color w:val="000000"/>
          <w:sz w:val="26"/>
          <w:szCs w:val="26"/>
        </w:rPr>
        <w:t>ия формы 6-НДФЛ за текущий год.</w:t>
      </w:r>
    </w:p>
    <w:p w:rsidR="003F1299" w:rsidRPr="003F1299" w:rsidRDefault="00BD0002" w:rsidP="003F12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Так, при исчислении НДФЛ в 2021 и 2022 гг., налоговая ставка 15% в отношении доходов физлиц, которые превысили 5 млн. рублей за налоговый период, используется применительно к каждой налоговой базе: отдельно – по дивидендам (доходы от долевого участия в организации); отдельно – по основной налоговой базе (зарплата, во</w:t>
      </w:r>
      <w:r w:rsidR="003F1299">
        <w:rPr>
          <w:rFonts w:ascii="Times New Roman" w:hAnsi="Times New Roman" w:cs="Times New Roman"/>
          <w:color w:val="000000"/>
          <w:sz w:val="26"/>
          <w:szCs w:val="26"/>
        </w:rPr>
        <w:t>знаграждение по договорам ГПХ).</w:t>
      </w:r>
    </w:p>
    <w:p w:rsidR="003F1299" w:rsidRPr="003F1299" w:rsidRDefault="00BD0002" w:rsidP="003F12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Отметим, что налоговый агент может указать доходы в виде дивидендов и зарплаты, которые облагаются налогом по ставке 13%, в одном разделе 2 «Общие суммы дохода и налога по итогам налогового периода» Приложения № 1 к расчету по форме 6-НДФЛ (приказ ФНС от 15 о</w:t>
      </w:r>
      <w:r w:rsidR="003F1299">
        <w:rPr>
          <w:rFonts w:ascii="Times New Roman" w:hAnsi="Times New Roman" w:cs="Times New Roman"/>
          <w:color w:val="000000"/>
          <w:sz w:val="26"/>
          <w:szCs w:val="26"/>
        </w:rPr>
        <w:t>ктября 2020 г. № ЕД-7-11/753@).</w:t>
      </w:r>
    </w:p>
    <w:p w:rsidR="003F1299" w:rsidRPr="003F1299" w:rsidRDefault="00BD0002" w:rsidP="003F12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Напомним, что с 1 января 2021 года ставки по НДФЛ установлены в размере 13%, если доходы за налоговый период не превысили 5 млн. рублей, и 650 тыс. рублей и 15%, если доход превысил 5</w:t>
      </w:r>
      <w:r w:rsidR="003F1299">
        <w:rPr>
          <w:rFonts w:ascii="Times New Roman" w:hAnsi="Times New Roman" w:cs="Times New Roman"/>
          <w:color w:val="000000"/>
          <w:sz w:val="26"/>
          <w:szCs w:val="26"/>
        </w:rPr>
        <w:t xml:space="preserve"> млн. рублей (п. 1 ст. 224 НК).</w:t>
      </w:r>
    </w:p>
    <w:p w:rsidR="00BD0002" w:rsidRDefault="00BD0002" w:rsidP="003F12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Повышенная ставка НДФЛ в размере 15% применяется в отношении доходов физлиц за исключением: доходов от продажи имущества (кроме ценных бумаг); доходов в виде стоимости имущества (кроме ценных бумаг), полученного в порядке дарения; налогооблагаемых доходов, полученных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такими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физлицами в виде страховых выплат по договорам страхования и выплат по пенсионному обеспечению.</w:t>
      </w:r>
    </w:p>
    <w:sectPr w:rsidR="00BD0002" w:rsidSect="003F12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02"/>
    <w:rsid w:val="0015765B"/>
    <w:rsid w:val="003F1299"/>
    <w:rsid w:val="00995604"/>
    <w:rsid w:val="00B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2022-01-14T04:29:00Z</cp:lastPrinted>
  <dcterms:created xsi:type="dcterms:W3CDTF">2022-01-14T04:02:00Z</dcterms:created>
  <dcterms:modified xsi:type="dcterms:W3CDTF">2022-01-14T04:29:00Z</dcterms:modified>
</cp:coreProperties>
</file>