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68" w:rsidRPr="007D6268" w:rsidRDefault="007D6268" w:rsidP="007D6268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bookmarkStart w:id="0" w:name="_GoBack"/>
      <w:r w:rsidRPr="007D626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ФНС России разъяснила, как исчисляется налог за земельные участки для ИЖС в собственности организаций</w:t>
      </w:r>
    </w:p>
    <w:bookmarkEnd w:id="0"/>
    <w:p w:rsidR="007D6268" w:rsidRPr="007D6268" w:rsidRDefault="007D6268" w:rsidP="007D62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2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Ставки по земельному налогу устанавливаются нормативными правовыми актами представительных органов муниципальных образований, представительного органа федеральной территории «Сириус» или законами городов федерального значения. По общему правилу, они не могут превышать 0,3% кадастровой стоимости для земельных участков, занятых жилищным фондом и объектами инженерной инфраструктуры ЖКХ или приобретенных для жилищного строительства.</w:t>
      </w:r>
    </w:p>
    <w:p w:rsidR="007D6268" w:rsidRPr="007D6268" w:rsidRDefault="007D6268" w:rsidP="007D62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2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предельный размер налоговой ставки не зависит от того, в чьей собственности находится такой земельный участок. Подтвердить размещение объектов жилищного фонда на налогооблагаемом земельном участке можно с помощью сведений Единого государственного реестра недвижимости, документов, подтверждающих государственный учет и (или) техническую инвентаризацию ранее учтенных объектов недвижимости, и т.п.</w:t>
      </w:r>
    </w:p>
    <w:p w:rsidR="007D6268" w:rsidRPr="007D6268" w:rsidRDefault="007D6268" w:rsidP="007D62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268">
        <w:rPr>
          <w:rFonts w:ascii="Times New Roman" w:eastAsia="Times New Roman" w:hAnsi="Times New Roman" w:cs="Times New Roman"/>
          <w:sz w:val="26"/>
          <w:szCs w:val="26"/>
          <w:lang w:eastAsia="ru-RU"/>
        </w:rPr>
        <w:t>К исключениям из указанного правила о предельной налоговой ставке, не превышающей 0,3%, относятся:</w:t>
      </w:r>
    </w:p>
    <w:p w:rsidR="007D6268" w:rsidRPr="007D6268" w:rsidRDefault="007D6268" w:rsidP="007D6268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26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земельного участка, приходящиеся на объект, не относящийся к жилищному фонду и к объектам инженерной инфраструктуры ЖКХ;</w:t>
      </w:r>
    </w:p>
    <w:p w:rsidR="007D6268" w:rsidRPr="007D6268" w:rsidRDefault="007D6268" w:rsidP="007D626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268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земельные участки, незанятые жилищным фондом и объектами инженерной инфраструктуры ЖКХ и приобретенные (предоставленные) для индивидуального жилищного строительства (ИЖС), которые используются в </w:t>
      </w:r>
      <w:hyperlink r:id="rId6" w:anchor="p_27732" w:tgtFrame="_blank" w:history="1">
        <w:r w:rsidRPr="007D62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предпринимательской деятельности</w:t>
        </w:r>
      </w:hyperlink>
      <w:r w:rsidRPr="007D62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6268" w:rsidRPr="007D6268" w:rsidRDefault="007D6268" w:rsidP="007D626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26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для земельных участков под ИЖС, используемых в предпринимательской деятельности, где не размещены объекты жилищного фонда и инженерной инфраструктуры ЖКХ, предельная налоговая ставка </w:t>
      </w:r>
      <w:hyperlink r:id="rId7" w:anchor="p_27734" w:tgtFrame="_blank" w:history="1">
        <w:r w:rsidRPr="007D62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не может превышать 1,5%</w:t>
        </w:r>
      </w:hyperlink>
      <w:r w:rsidRPr="007D6268">
        <w:rPr>
          <w:rFonts w:ascii="Times New Roman" w:eastAsia="Times New Roman" w:hAnsi="Times New Roman" w:cs="Times New Roman"/>
          <w:sz w:val="26"/>
          <w:szCs w:val="26"/>
          <w:lang w:eastAsia="ru-RU"/>
        </w:rPr>
        <w:t> как для «прочих земельных участков». При этом о коммерческом характере землепользования может свидетельствовать:</w:t>
      </w:r>
    </w:p>
    <w:p w:rsidR="007D6268" w:rsidRPr="007D6268" w:rsidRDefault="007D6268" w:rsidP="007D6268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2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принадлежность земельных участков коммерческой организации, не осуществляющей жилищное строительство, чьим основным видом деятельности является продажа недвижимости;</w:t>
      </w:r>
    </w:p>
    <w:p w:rsidR="007D6268" w:rsidRPr="007D6268" w:rsidRDefault="007D6268" w:rsidP="007D6268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26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возможное наличие на такой территории вспомогательной инфраструктуры (дорог, ограждений, проведение электричества, коммуникаций и т.п.), подтверждающее землепользование для извлечения прибыли от возмездной реализации незастроенных земельных участков;</w:t>
      </w:r>
    </w:p>
    <w:p w:rsidR="007D6268" w:rsidRDefault="007D6268" w:rsidP="007D6268">
      <w:pPr>
        <w:numPr>
          <w:ilvl w:val="0"/>
          <w:numId w:val="5"/>
        </w:numPr>
        <w:shd w:val="clear" w:color="auto" w:fill="FFFFFF"/>
        <w:spacing w:after="150" w:line="240" w:lineRule="auto"/>
        <w:jc w:val="both"/>
      </w:pPr>
      <w:r w:rsidRPr="007D6268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факты систематической продажи указанных земельных участков.</w:t>
      </w:r>
    </w:p>
    <w:p w:rsidR="00083BC7" w:rsidRPr="00083BC7" w:rsidRDefault="00083BC7" w:rsidP="006349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94C" w:rsidRPr="0063494C" w:rsidRDefault="0063494C" w:rsidP="006349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94C" w:rsidRPr="0063494C" w:rsidRDefault="0063494C" w:rsidP="00C82A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3494C" w:rsidRPr="0063494C" w:rsidSect="00C82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2FA1"/>
    <w:multiLevelType w:val="multilevel"/>
    <w:tmpl w:val="DC64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456D27"/>
    <w:multiLevelType w:val="hybridMultilevel"/>
    <w:tmpl w:val="8B269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70A5B"/>
    <w:multiLevelType w:val="multilevel"/>
    <w:tmpl w:val="E384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2A4204"/>
    <w:multiLevelType w:val="hybridMultilevel"/>
    <w:tmpl w:val="987657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D673C27"/>
    <w:multiLevelType w:val="multilevel"/>
    <w:tmpl w:val="C502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49"/>
    <w:rsid w:val="00083BC7"/>
    <w:rsid w:val="00146D06"/>
    <w:rsid w:val="003C3AF6"/>
    <w:rsid w:val="004436A9"/>
    <w:rsid w:val="0063494C"/>
    <w:rsid w:val="0072281D"/>
    <w:rsid w:val="007470B0"/>
    <w:rsid w:val="007D6268"/>
    <w:rsid w:val="00A32449"/>
    <w:rsid w:val="00A66031"/>
    <w:rsid w:val="00C82AF3"/>
    <w:rsid w:val="00F0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36A9"/>
    <w:rPr>
      <w:color w:val="0000FF"/>
      <w:u w:val="single"/>
    </w:rPr>
  </w:style>
  <w:style w:type="character" w:customStyle="1" w:styleId="b-share-btnwrap">
    <w:name w:val="b-share-btn__wrap"/>
    <w:basedOn w:val="a0"/>
    <w:rsid w:val="004436A9"/>
  </w:style>
  <w:style w:type="character" w:customStyle="1" w:styleId="b-share-counter">
    <w:name w:val="b-share-counter"/>
    <w:basedOn w:val="a0"/>
    <w:rsid w:val="004436A9"/>
  </w:style>
  <w:style w:type="paragraph" w:styleId="a5">
    <w:name w:val="List Paragraph"/>
    <w:basedOn w:val="a"/>
    <w:uiPriority w:val="34"/>
    <w:qFormat/>
    <w:rsid w:val="00083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36A9"/>
    <w:rPr>
      <w:color w:val="0000FF"/>
      <w:u w:val="single"/>
    </w:rPr>
  </w:style>
  <w:style w:type="character" w:customStyle="1" w:styleId="b-share-btnwrap">
    <w:name w:val="b-share-btn__wrap"/>
    <w:basedOn w:val="a0"/>
    <w:rsid w:val="004436A9"/>
  </w:style>
  <w:style w:type="character" w:customStyle="1" w:styleId="b-share-counter">
    <w:name w:val="b-share-counter"/>
    <w:basedOn w:val="a0"/>
    <w:rsid w:val="004436A9"/>
  </w:style>
  <w:style w:type="paragraph" w:styleId="a5">
    <w:name w:val="List Paragraph"/>
    <w:basedOn w:val="a"/>
    <w:uiPriority w:val="34"/>
    <w:qFormat/>
    <w:rsid w:val="00083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6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4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5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70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204474860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log.garant.ru/fns/nk/925634f2f8bcd981eb812c49160bcd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log.garant.ru/fns/nk/925634f2f8bcd981eb812c49160bcd0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Сокорова Ольга Александровна</cp:lastModifiedBy>
  <cp:revision>2</cp:revision>
  <dcterms:created xsi:type="dcterms:W3CDTF">2022-06-08T05:13:00Z</dcterms:created>
  <dcterms:modified xsi:type="dcterms:W3CDTF">2022-06-08T05:13:00Z</dcterms:modified>
</cp:coreProperties>
</file>