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E4" w:rsidRPr="00E95F9C" w:rsidRDefault="00F055E4" w:rsidP="00E95F9C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5F9C">
        <w:rPr>
          <w:rStyle w:val="a4"/>
          <w:rFonts w:ascii="Times New Roman" w:eastAsia="Calibri" w:hAnsi="Times New Roman" w:cs="Times New Roman"/>
          <w:color w:val="000000" w:themeColor="text1"/>
          <w:sz w:val="28"/>
          <w:szCs w:val="28"/>
        </w:rPr>
        <w:t>Перерасчет имущественных налогов физических лиц</w:t>
      </w:r>
    </w:p>
    <w:p w:rsidR="00F055E4" w:rsidRPr="00E95F9C" w:rsidRDefault="00F055E4" w:rsidP="00E95F9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E95F9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Перерасчет имущественных налогов физическим лицам, по ранее направленным налоговым уведомлениям проводится при наличии оснований, предусмотренных налоговым законодательством:</w:t>
      </w:r>
    </w:p>
    <w:p w:rsidR="00F055E4" w:rsidRPr="00E95F9C" w:rsidRDefault="00F055E4" w:rsidP="00E95F9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E95F9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впервые заявленная гражданином налоговая льгота или информация о прекращении существования объекта налогообложения, относящаяся к периоду, за который направлено налоговое уведомление;</w:t>
      </w:r>
    </w:p>
    <w:p w:rsidR="00F055E4" w:rsidRPr="00E95F9C" w:rsidRDefault="00F055E4" w:rsidP="00E95F9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E95F9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оспаривание кадастровой стоимости, использованной в качестве налоговой базы;</w:t>
      </w:r>
    </w:p>
    <w:p w:rsidR="00F055E4" w:rsidRPr="00E95F9C" w:rsidRDefault="00F055E4" w:rsidP="00E95F9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E95F9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снижение налоговых ставок или введение налоговых льгот в отношении периода, за который направлено налоговое уведомление;</w:t>
      </w:r>
    </w:p>
    <w:p w:rsidR="00F055E4" w:rsidRPr="00E95F9C" w:rsidRDefault="00F055E4" w:rsidP="00E95F9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E95F9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получение уточненных сведений из органов, регистрирующих объекты недвижимого имущества или транспортные средства (</w:t>
      </w:r>
      <w:proofErr w:type="spellStart"/>
      <w:r w:rsidRPr="00E95F9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Росреестр</w:t>
      </w:r>
      <w:proofErr w:type="spellEnd"/>
      <w:r w:rsidRPr="00E95F9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, ГИБДД МВД России, ГИМС МЧС России, инспекции </w:t>
      </w:r>
      <w:proofErr w:type="spellStart"/>
      <w:r w:rsidRPr="00E95F9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гостехнадзора</w:t>
      </w:r>
      <w:proofErr w:type="spellEnd"/>
      <w:r w:rsidRPr="00E95F9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и т.п.);</w:t>
      </w:r>
    </w:p>
    <w:p w:rsidR="00F055E4" w:rsidRPr="00E95F9C" w:rsidRDefault="00F055E4" w:rsidP="00E95F9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E95F9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исключение сведений из перечня объектов торгово-офисного назначения, предусмотренного п. 7 ст. 378.2 НК РФ;</w:t>
      </w:r>
    </w:p>
    <w:p w:rsidR="00F055E4" w:rsidRPr="00E95F9C" w:rsidRDefault="00F055E4" w:rsidP="00E95F9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E95F9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получение уточненных сведений </w:t>
      </w:r>
      <w:proofErr w:type="spellStart"/>
      <w:r w:rsidRPr="00E95F9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Минпромторга</w:t>
      </w:r>
      <w:proofErr w:type="spellEnd"/>
      <w:r w:rsidRPr="00E95F9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России о включении транспортного средства в перечень легковых автомобилей средней стоимостью от 3 </w:t>
      </w:r>
      <w:proofErr w:type="gramStart"/>
      <w:r w:rsidRPr="00E95F9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млн</w:t>
      </w:r>
      <w:proofErr w:type="gramEnd"/>
      <w:r w:rsidRPr="00E95F9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рублей для определенного налогового периода.</w:t>
      </w:r>
    </w:p>
    <w:p w:rsidR="00F055E4" w:rsidRPr="00E95F9C" w:rsidRDefault="00F055E4" w:rsidP="00E95F9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E95F9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Перерасчет проводится не более чем за три налоговых периода, предшествующих году направления налогового уведомления. При этом перерасчет не выполняется, если он влечет увеличение ранее уплаченных сумм земельного налога или нал</w:t>
      </w:r>
      <w:r w:rsidR="00E95F9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ога на имущество физических лиц, т</w:t>
      </w:r>
      <w:bookmarkStart w:id="0" w:name="_GoBack"/>
      <w:bookmarkEnd w:id="0"/>
      <w:r w:rsidRPr="00E95F9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о есть ухудшает положение налогоплательщика. С 1 июля 2021 года данное условие применяется и для транспортного налога.</w:t>
      </w:r>
    </w:p>
    <w:p w:rsidR="00E95F9C" w:rsidRPr="00E95F9C" w:rsidRDefault="00F055E4" w:rsidP="00E95F9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E95F9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Гражданин, имеющий право на льготу по транспортному налогу не подал заявление о ее предоставлении или не сообщил об отказе от её применения, то льгота предоставляется на основании сведений, полученных, от уполномоченных ведомств и применяется с того налогового периода, в котором у налогоплательщика возникло право на льготу. Таким образом, перерасчёт налога проводится с месяца, в котором у физического лица возникло право на налоговую льготу.</w:t>
      </w:r>
    </w:p>
    <w:p w:rsidR="00F055E4" w:rsidRPr="00E95F9C" w:rsidRDefault="00F055E4" w:rsidP="00E95F9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E95F9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Несмотря на то, что налог исчисляется с кадастровой стоимости, не последнюю роль играет и рыночная, если она ниже кадастровой. Снизив кадастровую стоимость до размера рыночной по результатам оспаривания, исчисленный ранее налог можно пересчитать, но только если сведения об уменьшенной кадастровой стоимости будут внесены в Единый государственный реестр недвижимости. Перерасчет земельного налога в пользу налогоплательщика будет произведен за налоговый период, в котором применялась кадастровая стоимость до её уменьшения.</w:t>
      </w:r>
    </w:p>
    <w:p w:rsidR="00F055E4" w:rsidRPr="00E95F9C" w:rsidRDefault="00F055E4" w:rsidP="00E95F9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E95F9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lastRenderedPageBreak/>
        <w:t>Ознакомиться с перечнем налоговых льгот по всем имущественным налогам можно на сайте ФНС России, воспользовавшись сервисом «</w:t>
      </w:r>
      <w:hyperlink r:id="rId6" w:history="1">
        <w:r w:rsidRPr="00E95F9C">
          <w:rPr>
            <w:rFonts w:ascii="Times New Roman" w:eastAsiaTheme="minorEastAsia" w:hAnsi="Times New Roman" w:cs="Times New Roman"/>
            <w:color w:val="000000" w:themeColor="text1"/>
            <w:sz w:val="26"/>
            <w:szCs w:val="26"/>
            <w:lang w:eastAsia="ru-RU"/>
          </w:rPr>
          <w:t>Справочная информация о ставках и льготах по имущественным налогам</w:t>
        </w:r>
      </w:hyperlink>
      <w:r w:rsidRPr="00E95F9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F055E4" w:rsidRPr="00E95F9C" w:rsidRDefault="00F055E4" w:rsidP="00E95F9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E95F9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B4247F" w:rsidRPr="00E95F9C" w:rsidRDefault="00B4247F">
      <w:pP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</w:p>
    <w:sectPr w:rsidR="00B4247F" w:rsidRPr="00E95F9C" w:rsidSect="00E95F9C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6455"/>
    <w:multiLevelType w:val="multilevel"/>
    <w:tmpl w:val="B448CD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D003E"/>
    <w:multiLevelType w:val="multilevel"/>
    <w:tmpl w:val="084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E4"/>
    <w:rsid w:val="00B4247F"/>
    <w:rsid w:val="00E95F9C"/>
    <w:rsid w:val="00F0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55E4"/>
    <w:rPr>
      <w:color w:val="0000FF"/>
      <w:u w:val="single"/>
    </w:rPr>
  </w:style>
  <w:style w:type="character" w:styleId="a4">
    <w:name w:val="Strong"/>
    <w:basedOn w:val="a0"/>
    <w:uiPriority w:val="22"/>
    <w:qFormat/>
    <w:rsid w:val="00E95F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55E4"/>
    <w:rPr>
      <w:color w:val="0000FF"/>
      <w:u w:val="single"/>
    </w:rPr>
  </w:style>
  <w:style w:type="character" w:styleId="a4">
    <w:name w:val="Strong"/>
    <w:basedOn w:val="a0"/>
    <w:uiPriority w:val="22"/>
    <w:qFormat/>
    <w:rsid w:val="00E95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5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6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3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79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4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5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4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3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12468984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25/service/ta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Сокорова Ольга Александровна</cp:lastModifiedBy>
  <cp:revision>2</cp:revision>
  <cp:lastPrinted>2021-06-11T00:06:00Z</cp:lastPrinted>
  <dcterms:created xsi:type="dcterms:W3CDTF">2021-06-10T08:02:00Z</dcterms:created>
  <dcterms:modified xsi:type="dcterms:W3CDTF">2021-06-11T00:06:00Z</dcterms:modified>
</cp:coreProperties>
</file>