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78" w:rsidRPr="00900E78" w:rsidRDefault="00900E78" w:rsidP="00900E78">
      <w:pPr>
        <w:spacing w:after="300" w:line="240" w:lineRule="auto"/>
        <w:jc w:val="center"/>
        <w:outlineLvl w:val="0"/>
        <w:rPr>
          <w:rFonts w:ascii="Times New Roman" w:hAnsi="Times New Roman" w:cs="Times New Roman"/>
          <w:b/>
          <w:bCs/>
          <w:color w:val="000000"/>
          <w:sz w:val="26"/>
          <w:szCs w:val="26"/>
        </w:rPr>
      </w:pPr>
      <w:r w:rsidRPr="00900E78">
        <w:rPr>
          <w:rFonts w:ascii="Times New Roman" w:hAnsi="Times New Roman" w:cs="Times New Roman"/>
          <w:b/>
          <w:bCs/>
          <w:color w:val="000000"/>
          <w:sz w:val="26"/>
          <w:szCs w:val="26"/>
        </w:rPr>
        <w:t>Утверждена форма уведомления о переходе на уплату НДФЛ с</w:t>
      </w:r>
      <w:r w:rsidRPr="009D19DE">
        <w:rPr>
          <w:rFonts w:ascii="Conv_PFDINTEXTCONDPRO-MEDIUM" w:eastAsia="Times New Roman" w:hAnsi="Conv_PFDINTEXTCONDPRO-MEDIUM" w:cs="Arial"/>
          <w:color w:val="405965"/>
          <w:kern w:val="36"/>
          <w:sz w:val="84"/>
          <w:szCs w:val="84"/>
          <w:lang w:eastAsia="ru-RU"/>
        </w:rPr>
        <w:t xml:space="preserve"> </w:t>
      </w:r>
      <w:r w:rsidRPr="00900E78">
        <w:rPr>
          <w:rFonts w:ascii="Times New Roman" w:hAnsi="Times New Roman" w:cs="Times New Roman"/>
          <w:b/>
          <w:bCs/>
          <w:color w:val="000000"/>
          <w:sz w:val="26"/>
          <w:szCs w:val="26"/>
        </w:rPr>
        <w:t>фиксированной прибыли КИК</w:t>
      </w:r>
    </w:p>
    <w:p w:rsidR="00900E78" w:rsidRPr="00900E78" w:rsidRDefault="00900E78" w:rsidP="00900E78">
      <w:pPr>
        <w:autoSpaceDE w:val="0"/>
        <w:autoSpaceDN w:val="0"/>
        <w:adjustRightInd w:val="0"/>
        <w:spacing w:after="0" w:line="360" w:lineRule="auto"/>
        <w:ind w:firstLine="708"/>
        <w:jc w:val="both"/>
        <w:rPr>
          <w:rFonts w:ascii="Times New Roman" w:hAnsi="Times New Roman" w:cs="Times New Roman"/>
          <w:color w:val="000000"/>
          <w:sz w:val="26"/>
          <w:szCs w:val="26"/>
        </w:rPr>
      </w:pPr>
      <w:bookmarkStart w:id="0" w:name="_GoBack"/>
      <w:bookmarkEnd w:id="0"/>
      <w:r w:rsidRPr="00900E78">
        <w:rPr>
          <w:rFonts w:ascii="Times New Roman" w:hAnsi="Times New Roman" w:cs="Times New Roman"/>
          <w:color w:val="000000"/>
          <w:sz w:val="26"/>
          <w:szCs w:val="26"/>
        </w:rPr>
        <w:t>Утверждены форма и формат уведомления о переходе на уплату налога на доходы физических лиц с фиксированной прибыли контролируемых иностранных компаний, а также порядок ее заполнения. Минюст России зарегистрировал </w:t>
      </w:r>
      <w:hyperlink r:id="rId7" w:tgtFrame="_blank" w:history="1">
        <w:r w:rsidRPr="00900E78">
          <w:rPr>
            <w:rFonts w:ascii="Times New Roman" w:hAnsi="Times New Roman" w:cs="Times New Roman"/>
            <w:color w:val="000000"/>
            <w:sz w:val="26"/>
            <w:szCs w:val="26"/>
          </w:rPr>
          <w:t>приказ ФНС России от 19.05.2021 № ЕД-7-13/495@</w:t>
        </w:r>
      </w:hyperlink>
      <w:r w:rsidRPr="00900E78">
        <w:rPr>
          <w:rFonts w:ascii="Times New Roman" w:hAnsi="Times New Roman" w:cs="Times New Roman"/>
          <w:color w:val="000000"/>
          <w:sz w:val="26"/>
          <w:szCs w:val="26"/>
        </w:rPr>
        <w:t>. Ранее данная форма носила рекомендательный характер.</w:t>
      </w:r>
    </w:p>
    <w:p w:rsidR="00900E78" w:rsidRPr="00900E78" w:rsidRDefault="00900E78" w:rsidP="00900E7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900E78">
        <w:rPr>
          <w:rFonts w:ascii="Times New Roman" w:hAnsi="Times New Roman" w:cs="Times New Roman"/>
          <w:color w:val="000000"/>
          <w:sz w:val="26"/>
          <w:szCs w:val="26"/>
        </w:rPr>
        <w:t>Напоминаем, что с налогового периода 2020 года физические лица вправе уплачивать НДФЛ с фиксированного размера прибыли контролируемых иностранных компаний. Чтобы перейти на такую уплату налога с 2021 года или последующих лет, нужно направить в налоговые органы уведомление до 31 декабря соответствующего налогового периода.</w:t>
      </w:r>
    </w:p>
    <w:p w:rsidR="00900E78" w:rsidRPr="00900E78" w:rsidRDefault="00900E78" w:rsidP="00900E7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900E78">
        <w:rPr>
          <w:rFonts w:ascii="Times New Roman" w:hAnsi="Times New Roman" w:cs="Times New Roman"/>
          <w:color w:val="000000"/>
          <w:sz w:val="26"/>
          <w:szCs w:val="26"/>
        </w:rPr>
        <w:t>При этом налогоплательщики, выбравшие для себя указанный порядок уплаты, должны будут применять его не менее трех налоговых периодов. Для тех, кто перейдет на него после 2021 года, минимальный срок применения такого порядка составит пять лет.</w:t>
      </w:r>
    </w:p>
    <w:p w:rsidR="00900E78" w:rsidRPr="00900E78" w:rsidRDefault="00900E78" w:rsidP="00900E7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900E78">
        <w:rPr>
          <w:rFonts w:ascii="Times New Roman" w:hAnsi="Times New Roman" w:cs="Times New Roman"/>
          <w:color w:val="000000"/>
          <w:sz w:val="26"/>
          <w:szCs w:val="26"/>
        </w:rPr>
        <w:t>Уплата налога с фиксированной прибыли КИК является правом налогоплательщика и применяется в добровольном порядке. Подробнее о правилах КИК и новом фиксированном режиме можно узнать в разделе «</w:t>
      </w:r>
      <w:hyperlink r:id="rId8" w:tgtFrame="_blank" w:history="1">
        <w:r w:rsidRPr="00900E78">
          <w:rPr>
            <w:rFonts w:ascii="Times New Roman" w:hAnsi="Times New Roman" w:cs="Times New Roman"/>
            <w:color w:val="000000"/>
            <w:sz w:val="26"/>
            <w:szCs w:val="26"/>
          </w:rPr>
          <w:t>Контролируемые иностранные компании и контролирующие лица</w:t>
        </w:r>
      </w:hyperlink>
      <w:r w:rsidRPr="00900E78">
        <w:rPr>
          <w:rFonts w:ascii="Times New Roman" w:hAnsi="Times New Roman" w:cs="Times New Roman"/>
          <w:color w:val="000000"/>
          <w:sz w:val="26"/>
          <w:szCs w:val="26"/>
        </w:rPr>
        <w:t>».</w:t>
      </w:r>
    </w:p>
    <w:p w:rsidR="00900E78" w:rsidRPr="00900E78" w:rsidRDefault="00900E78" w:rsidP="00900E78">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900E78" w:rsidRPr="00166A01" w:rsidRDefault="00900E78" w:rsidP="00166A01">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E04AA1" w:rsidRPr="00E04AA1" w:rsidRDefault="00E04AA1" w:rsidP="00254BF5">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063F5C" w:rsidRPr="007A51C0" w:rsidRDefault="00063F5C" w:rsidP="007A51C0">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7A51C0" w:rsidRPr="007A51C0" w:rsidRDefault="007A51C0" w:rsidP="007A51C0">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7A51C0" w:rsidRPr="001D7766" w:rsidRDefault="007A51C0" w:rsidP="001D7766">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1D7766" w:rsidRPr="001D7766" w:rsidRDefault="001D7766" w:rsidP="001D7766">
      <w:pPr>
        <w:shd w:val="clear" w:color="auto" w:fill="FFFFFF"/>
        <w:spacing w:after="300" w:line="240" w:lineRule="auto"/>
        <w:rPr>
          <w:rFonts w:ascii="Times New Roman" w:eastAsia="Times New Roman" w:hAnsi="Times New Roman" w:cs="Times New Roman"/>
          <w:sz w:val="26"/>
          <w:szCs w:val="26"/>
          <w:lang w:eastAsia="ru-RU"/>
        </w:rPr>
      </w:pPr>
    </w:p>
    <w:p w:rsidR="001D7766" w:rsidRPr="001D7766" w:rsidRDefault="001D7766" w:rsidP="001D7766">
      <w:pPr>
        <w:shd w:val="clear" w:color="auto" w:fill="FFFFFF"/>
        <w:spacing w:after="300" w:line="240" w:lineRule="auto"/>
        <w:rPr>
          <w:rFonts w:ascii="Times New Roman" w:eastAsia="Times New Roman" w:hAnsi="Times New Roman" w:cs="Times New Roman"/>
          <w:sz w:val="26"/>
          <w:szCs w:val="26"/>
          <w:lang w:eastAsia="ru-RU"/>
        </w:rPr>
      </w:pPr>
    </w:p>
    <w:p w:rsidR="00B84109" w:rsidRPr="00542107" w:rsidRDefault="00900E78" w:rsidP="00542107">
      <w:pPr>
        <w:jc w:val="both"/>
        <w:rPr>
          <w:sz w:val="26"/>
          <w:szCs w:val="26"/>
        </w:rPr>
      </w:pPr>
    </w:p>
    <w:sectPr w:rsidR="00B84109" w:rsidRPr="00542107" w:rsidSect="00542107">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FCA"/>
    <w:multiLevelType w:val="hybridMultilevel"/>
    <w:tmpl w:val="429E3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6869CE"/>
    <w:multiLevelType w:val="hybridMultilevel"/>
    <w:tmpl w:val="AEA43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A90FED"/>
    <w:multiLevelType w:val="multilevel"/>
    <w:tmpl w:val="58C27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869DE"/>
    <w:multiLevelType w:val="multilevel"/>
    <w:tmpl w:val="4F96A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04B43"/>
    <w:multiLevelType w:val="multilevel"/>
    <w:tmpl w:val="14D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50"/>
    <w:rsid w:val="00063F5C"/>
    <w:rsid w:val="00122AF8"/>
    <w:rsid w:val="0015765B"/>
    <w:rsid w:val="00166A01"/>
    <w:rsid w:val="001D7766"/>
    <w:rsid w:val="00254BF5"/>
    <w:rsid w:val="00271DA5"/>
    <w:rsid w:val="00501650"/>
    <w:rsid w:val="00542107"/>
    <w:rsid w:val="007A51C0"/>
    <w:rsid w:val="00900E78"/>
    <w:rsid w:val="00995604"/>
    <w:rsid w:val="00BC4527"/>
    <w:rsid w:val="00E0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1650"/>
    <w:rPr>
      <w:rFonts w:cs="Times New Roman"/>
      <w:color w:val="0000FF"/>
      <w:u w:val="single"/>
    </w:rPr>
  </w:style>
  <w:style w:type="paragraph" w:customStyle="1" w:styleId="a4">
    <w:name w:val="мониторинг"/>
    <w:basedOn w:val="a"/>
    <w:link w:val="a5"/>
    <w:qFormat/>
    <w:rsid w:val="00501650"/>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501650"/>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1650"/>
    <w:rPr>
      <w:rFonts w:cs="Times New Roman"/>
      <w:color w:val="0000FF"/>
      <w:u w:val="single"/>
    </w:rPr>
  </w:style>
  <w:style w:type="paragraph" w:customStyle="1" w:styleId="a4">
    <w:name w:val="мониторинг"/>
    <w:basedOn w:val="a"/>
    <w:link w:val="a5"/>
    <w:qFormat/>
    <w:rsid w:val="00501650"/>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501650"/>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77/taxation/cfcomp/conforcom/" TargetMode="External"/><Relationship Id="rId3" Type="http://schemas.openxmlformats.org/officeDocument/2006/relationships/styles" Target="styles.xml"/><Relationship Id="rId7" Type="http://schemas.openxmlformats.org/officeDocument/2006/relationships/hyperlink" Target="http://www.consultant.ru/document/cons_doc_LAW_3918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66C1-FB9D-4C9E-8D66-028B3231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2021-08-20T00:47:00Z</cp:lastPrinted>
  <dcterms:created xsi:type="dcterms:W3CDTF">2021-08-20T00:47:00Z</dcterms:created>
  <dcterms:modified xsi:type="dcterms:W3CDTF">2021-08-20T00:47:00Z</dcterms:modified>
</cp:coreProperties>
</file>