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center"/>
        <w:rPr>
          <w:b/>
          <w:b/>
          <w:szCs w:val="26"/>
        </w:rPr>
      </w:pPr>
      <w:r>
        <w:rPr>
          <w:b/>
          <w:szCs w:val="26"/>
        </w:rPr>
        <w:t>Как воспользоваться льготой, неучтенной в налоговом уведомлении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b/>
          <w:szCs w:val="26"/>
        </w:rPr>
        <w:t xml:space="preserve">Шаг 1. </w:t>
      </w:r>
      <w:r>
        <w:rPr>
          <w:szCs w:val="26"/>
        </w:rPr>
        <w:t>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b/>
          <w:szCs w:val="26"/>
        </w:rPr>
        <w:t>Шаг 2.</w:t>
      </w:r>
      <w:r>
        <w:rPr>
          <w:sz w:val="28"/>
          <w:szCs w:val="28"/>
        </w:rPr>
        <w:t xml:space="preserve"> </w:t>
      </w:r>
      <w:r>
        <w:rPr>
          <w:szCs w:val="26"/>
        </w:rPr>
        <w:t>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08"/>
        <w:jc w:val="center"/>
        <w:rPr>
          <w:b/>
          <w:b/>
          <w:szCs w:val="26"/>
        </w:rPr>
      </w:pPr>
      <w:r>
        <w:rPr>
          <w:b/>
          <w:szCs w:val="26"/>
        </w:rPr>
        <w:t>Транспортный налог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 xml:space="preserve"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 </w:t>
      </w:r>
    </w:p>
    <w:p>
      <w:pPr>
        <w:pStyle w:val="Normal"/>
        <w:spacing w:lineRule="auto" w:line="360"/>
        <w:ind w:firstLine="708"/>
        <w:jc w:val="center"/>
        <w:rPr>
          <w:b/>
          <w:b/>
          <w:szCs w:val="26"/>
        </w:rPr>
      </w:pPr>
      <w:r>
        <w:rPr>
          <w:b/>
          <w:szCs w:val="26"/>
        </w:rPr>
        <w:t>Земельный налог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Cs w:val="26"/>
        </w:rPr>
      </w:pPr>
      <w:r>
        <w:rPr>
          <w:szCs w:val="26"/>
        </w:rPr>
        <w:t xml:space="preserve">пенсионеры;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Cs w:val="26"/>
        </w:rPr>
      </w:pPr>
      <w:r>
        <w:rPr>
          <w:szCs w:val="26"/>
        </w:rPr>
        <w:t>предпенсионеры;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инвалиды I и II групп;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инвалиды с детства;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ветераны Великой Отечественной войны и боевых действий;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многодетные;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Cs w:val="26"/>
        </w:rPr>
      </w:pPr>
      <w:r>
        <w:rPr>
          <w:rFonts w:eastAsia="Calibri"/>
          <w:szCs w:val="26"/>
        </w:rPr>
        <w:t>другие категории граждан, указанные в п. 5</w:t>
      </w:r>
      <w:r>
        <w:rPr>
          <w:szCs w:val="26"/>
        </w:rPr>
        <w:t xml:space="preserve"> ст. 391 НК РФ. </w:t>
      </w:r>
    </w:p>
    <w:p>
      <w:pPr>
        <w:pStyle w:val="Normal"/>
        <w:spacing w:lineRule="auto" w:line="360"/>
        <w:ind w:firstLine="708"/>
        <w:jc w:val="center"/>
        <w:rPr>
          <w:b/>
          <w:b/>
          <w:szCs w:val="26"/>
        </w:rPr>
      </w:pPr>
      <w:r>
        <w:rPr>
          <w:b/>
          <w:szCs w:val="26"/>
        </w:rPr>
        <w:t xml:space="preserve">Налог на имущество </w:t>
      </w:r>
      <w:bookmarkStart w:id="0" w:name="_GoBack"/>
      <w:bookmarkEnd w:id="0"/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 xml:space="preserve">Льготы для 16-категорий налогоплательщиков (пенсионеры, предпенсионеры, инвалиды, ветераны, военнослужащие, владельцы хозстроений до 50 кв.м и т.п.) предусмотрены ст. 407 НК РФ. 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>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>1) квартира или комната;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>2) жилой дом;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Cs w:val="26"/>
        </w:rPr>
        <w:t xml:space="preserve">3) помещение или сооружение, указанные в </w:t>
      </w:r>
      <w:hyperlink r:id="rId2">
        <w:r>
          <w:rPr>
            <w:rStyle w:val="ListLabel4"/>
            <w:szCs w:val="26"/>
          </w:rPr>
          <w:t>подпункте 14 пункта 1</w:t>
        </w:r>
      </w:hyperlink>
      <w:r>
        <w:rPr>
          <w:szCs w:val="26"/>
        </w:rPr>
        <w:t xml:space="preserve"> статьи 407 НК РФ;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Cs w:val="26"/>
        </w:rPr>
        <w:t xml:space="preserve">4) хозяйственное строение или сооружение, указанные в </w:t>
      </w:r>
      <w:hyperlink r:id="rId3">
        <w:r>
          <w:rPr>
            <w:rStyle w:val="ListLabel4"/>
            <w:szCs w:val="26"/>
          </w:rPr>
          <w:t>подпункте 15 пункта 1</w:t>
        </w:r>
      </w:hyperlink>
      <w:r>
        <w:rPr>
          <w:szCs w:val="26"/>
        </w:rPr>
        <w:t xml:space="preserve"> статьи 407 НК РФ;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>5) гараж или машино-место.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Cs w:val="26"/>
        </w:rPr>
        <w:t>С информацией о налоговых льготах можно ознакомиться в рубрике «Справочная информация о ставках и льготах по имущественным налогам»</w:t>
      </w:r>
      <w:r>
        <w:rPr>
          <w:sz w:val="28"/>
          <w:szCs w:val="28"/>
        </w:rPr>
        <w:t xml:space="preserve"> </w:t>
      </w:r>
      <w:r>
        <w:rPr>
          <w:szCs w:val="26"/>
        </w:rPr>
        <w:t>(</w:t>
      </w:r>
      <w:hyperlink r:id="rId4">
        <w:r>
          <w:rPr>
            <w:rStyle w:val="Style14"/>
            <w:szCs w:val="26"/>
          </w:rPr>
          <w:t>https://www.nalog.ru/rn25/service/tax/</w:t>
        </w:r>
      </w:hyperlink>
      <w:r>
        <w:rPr>
          <w:szCs w:val="26"/>
        </w:rPr>
        <w:t>), либо обратиться в налоговые инспекции или в контакт-центр ФНС России (тел. 8 800 – 222 22 22).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b/>
          <w:szCs w:val="26"/>
        </w:rPr>
        <w:t>Шаг 3.</w:t>
      </w:r>
      <w:r>
        <w:rPr>
          <w:sz w:val="28"/>
          <w:szCs w:val="28"/>
        </w:rPr>
        <w:t xml:space="preserve"> </w:t>
      </w:r>
      <w:r>
        <w:rPr>
          <w:szCs w:val="26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>
      <w:pPr>
        <w:pStyle w:val="Normal"/>
        <w:spacing w:lineRule="auto" w:line="360"/>
        <w:ind w:firstLine="708"/>
        <w:jc w:val="both"/>
        <w:rPr>
          <w:szCs w:val="26"/>
        </w:rPr>
      </w:pPr>
      <w:r>
        <w:rPr>
          <w:szCs w:val="26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 физического лица; почтовым сообщением; путем личного обращения в налоговую инспекцию; через уполномоченный МФЦ.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1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213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a2a6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Cs w:val="26"/>
    </w:rPr>
  </w:style>
  <w:style w:type="character" w:styleId="ListLabel5">
    <w:name w:val="ListLabel 5"/>
    <w:qFormat/>
    <w:rPr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1a2a6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a2a6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7DE8A3430C0BCBCAD69872580B1B75689B1F6C3FC35CD82AD13AB7DC362D43E4BC14749D0C20o7W2L" TargetMode="External"/><Relationship Id="rId3" Type="http://schemas.openxmlformats.org/officeDocument/2006/relationships/hyperlink" Target="consultantplus://offline/ref=697DE8A3430C0BCBCAD69872580B1B75689B1F6C3FC35CD82AD13AB7DC362D43E4BC14749D0C20o7W3L" TargetMode="External"/><Relationship Id="rId4" Type="http://schemas.openxmlformats.org/officeDocument/2006/relationships/hyperlink" Target="https://www.nalog.ru/rn25/service/tax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DD76-74C1-433B-84A4-38E7556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LibreOffice/6.2.8.2$Linux_X86_64 LibreOffice_project/20$Build-2</Application>
  <Pages>2</Pages>
  <Words>377</Words>
  <Characters>2484</Characters>
  <CharactersWithSpaces>2841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2020-09-10T22:34:00Z</dcterms:created>
  <dc:creator>Сокорова Ольга Александровна</dc:creator>
  <dc:description/>
  <dc:language>ru-RU</dc:language>
  <cp:lastModifiedBy>Сокорова Ольга Александровна</cp:lastModifiedBy>
  <cp:lastPrinted>2020-09-10T23:14:00Z</cp:lastPrinted>
  <dcterms:modified xsi:type="dcterms:W3CDTF">2020-09-10T23:15:00Z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