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>1. В отношении жилого помещения общей площадью 33,8 кв. м. с кадастровым номером 25:02:300101:185, расположенного по адресу: Приморский край, Дальнереченский район, с. Любитовка, ул. Партизанская, д.10 в качестве его правообладателя, владеющего данным объектом недвижимости на праве собственности, выявлен Крикун Василий Иванович  г.р., место рождения с. 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серия , номер   выдан  г , код подразделении ,  СНИЛС   проживающий по адресу: Приморский край, г. Дальнереченск, ул. 45 лет Октября, д.51, кв.2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Крикун Василия Ивановича на указанный в пункте 1 настоящего постановления объект недвижимости подтверждается </w:t>
      </w:r>
      <w:r>
        <w:rPr>
          <w:color w:val="C9211E"/>
          <w:sz w:val="26"/>
          <w:szCs w:val="26"/>
        </w:rPr>
        <w:t>(Свидетельство о праве на наследство   ???? , ).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3. Указанный в пункте 1 настоящего постановления объект недвижимости </w:t>
      </w:r>
      <w:r>
        <w:rPr>
          <w:color w:val="C9211E"/>
          <w:sz w:val="26"/>
          <w:szCs w:val="26"/>
        </w:rPr>
        <w:t>не прекратил существование, что подтверждается прилагаемым актом осмотра            от  НА САМОМ ДЕЛЕ ДОМА НЕТ г.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17  февраля  2023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Настоящий акт составлен в результате проведенного 17  февраля </w:t>
      </w:r>
      <w:r>
        <w:rPr>
          <w:b/>
          <w:u w:val="single"/>
        </w:rPr>
        <w:t xml:space="preserve"> 2023 г в 10 ч 00м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25:02:300101:185</w:t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>Приморский край, Дальнереченский район, с. Любитовка ул. Партизанская, д.10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>Приморский край, Дальнереченский район, с. Любитовка ул. Партизанская, д.10</w:t>
      </w:r>
      <w:r>
        <w:rPr/>
        <w:t>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color w:val="C9211E"/>
          <w:u w:val="single"/>
        </w:rPr>
        <w:t>не прекратил существование. А если прекратил ?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90</TotalTime>
  <Application>LibreOffice/7.4.3.2$Windows_X86_64 LibreOffice_project/1048a8393ae2eeec98dff31b5c133c5f1d08b890</Application>
  <AppVersion>15.0000</AppVersion>
  <Pages>2</Pages>
  <Words>468</Words>
  <Characters>3485</Characters>
  <CharactersWithSpaces>4186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2023-04-21T16:03:08Z</dcterms:modified>
  <cp:revision>8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