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gif" ContentType="image/gif"/>
  <Override PartName="/word/media/image2.gif" ContentType="image/gif"/>
  <Override PartName="/word/media/image3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Извещение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на территории Приморского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государственной кадастровой оценки 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имущественных и земельных отношений Приморского края               (далее – Министерство) извещает о проведении в 2023 году государственной кадастровой оценки </w:t>
      </w:r>
      <w:r>
        <w:rPr>
          <w:rFonts w:cs="Times New Roman" w:ascii="Times New Roman" w:hAnsi="Times New Roman"/>
          <w:bCs/>
          <w:sz w:val="28"/>
          <w:szCs w:val="28"/>
        </w:rPr>
        <w:t>зданий, помещений, сооружений, объектов незавершенного строительства, машино-мест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расположенных на территории Приморского края.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проведении в 2023 году государственной кадастровой оценки принято Министерством 01 июня 2021 (распоряжение № 408-ри «О проведении государственной кадастровой оценки на территории Приморского края в 2023 году» (далее – Распоряжение № 408-ри).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 (далее - Декларация).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Форма Декларации, а также порядок ее рассмотрения установлены приказом Росреестра от 24.05.2021 № П/0216 «Об утверждении Порядка рассмотрения декларации о характеристиках объектов недвижимости, в том числе ее формы».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Декларация может быть подана одним из следующих способов: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info@primcko.ru.</w:t>
        </w:r>
      </w:hyperlink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 личном обращении в КГБУ «ЦКО» по адресу: г. Владивосток, пр-кт Острякова, дом 49, оф. 505, 5-й этаж. Время приема: пн.-чт. с 9:00 до 18:00, пт. с 9:00 до 16:45, перерыв на обед с 13:00 до 13:45.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>
      <w:pPr>
        <w:pStyle w:val="Normal"/>
        <w:spacing w:lineRule="auto" w:line="360" w:before="0" w:after="0"/>
        <w:ind w:firstLine="360"/>
        <w:jc w:val="both"/>
        <w:rPr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 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1104900" cy="1104900"/>
            <wp:effectExtent l="0" t="0" r="0" b="0"/>
            <wp:docPr id="1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1257300" cy="1257300"/>
            <wp:effectExtent l="0" t="0" r="0" b="0"/>
            <wp:docPr id="2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Форма Декларации и примеры ее заполнения размещены на                 официальном сайте КГБУ «ЦКО» по электронному адресу:</w:t>
      </w:r>
      <w:r>
        <w:rPr/>
        <w:t xml:space="preserve">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https://primcko.ru/заявителям/подача-деклараций/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333500" cy="1333500"/>
            <wp:effectExtent l="0" t="0" r="0" b="0"/>
            <wp:docPr id="3" name="Рисунок 3" descr="http://qrcoder.ru/code/?https%3A%2F%2Fprimcko.ru%2F%E7%E0%FF%E2%E8%F2%E5%EB%FF%EC%2F%EF%EE%E4%E0%F7%E0-%E4%E5%EA%EB%E0%F0%E0%F6%E8%E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qrcoder.ru/code/?https%3A%2F%2Fprimcko.ru%2F%E7%E0%FF%E2%E8%F2%E5%EB%FF%EC%2F%EF%EE%E4%E0%F7%E0-%E4%E5%EA%EB%E0%F0%E0%F6%E8%E9%2F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rimcko.ru" TargetMode="External"/><Relationship Id="rId3" Type="http://schemas.openxmlformats.org/officeDocument/2006/relationships/hyperlink" Target="http://mfc-25.ru/" TargetMode="External"/><Relationship Id="rId4" Type="http://schemas.openxmlformats.org/officeDocument/2006/relationships/image" Target="media/image1.gif"/><Relationship Id="rId5" Type="http://schemas.openxmlformats.org/officeDocument/2006/relationships/hyperlink" Target="https://gosuslugi.primorsky.ru/" TargetMode="External"/><Relationship Id="rId6" Type="http://schemas.openxmlformats.org/officeDocument/2006/relationships/image" Target="media/image2.gif"/><Relationship Id="rId7" Type="http://schemas.openxmlformats.org/officeDocument/2006/relationships/hyperlink" Target="https://primcko.ru/&#1079;&#1072;&#1103;&#1074;&#1080;&#1090;&#1077;&#1083;&#1103;&#1084;/&#1087;&#1086;&#1076;&#1072;&#1095;&#1072;-&#1076;&#1077;&#1082;&#1083;&#1072;&#1088;&#1072;&#1094;&#1080;&#1081;/" TargetMode="External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LibreOffice/6.4.4.2$Linux_X86_64 LibreOffice_project/40$Build-2</Application>
  <Pages>2</Pages>
  <Words>323</Words>
  <Characters>2304</Characters>
  <CharactersWithSpaces>2650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2022-06-10T01:32:00Z</dcterms:created>
  <dc:creator>Главацкая Елена Владимировна</dc:creator>
  <dc:description/>
  <dc:language>ru-RU</dc:language>
  <cp:lastModifiedBy>Чернов Павел Анатольевич</cp:lastModifiedBy>
  <cp:lastPrinted>2020-02-28T04:20:00Z</cp:lastPrinted>
  <dcterms:modified xsi:type="dcterms:W3CDTF">2022-06-14T03:36:00Z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