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240"/>
        <w:jc w:val="center"/>
        <w:rPr/>
      </w:pPr>
      <w:r>
        <w:rPr/>
        <w:drawing>
          <wp:inline distT="0" distB="0" distL="0" distR="0">
            <wp:extent cx="561975" cy="6762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tLeast" w:line="240"/>
        <w:jc w:val="center"/>
        <w:rPr/>
      </w:pPr>
      <w:r>
        <w:rPr/>
      </w:r>
    </w:p>
    <w:p>
      <w:pPr>
        <w:pStyle w:val="Normal"/>
        <w:widowControl w:val="false"/>
        <w:spacing w:lineRule="atLeast" w:line="240"/>
        <w:ind w:left="-284" w:right="-14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г. Дальнереченск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(ПРОЕКТ)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21.02.2022 г.</w:t>
        <w:tab/>
        <w:tab/>
        <w:tab/>
        <w:tab/>
        <w:tab/>
        <w:tab/>
        <w:tab/>
        <w:tab/>
        <w:t xml:space="preserve">                           </w:t>
        <w:tab/>
        <w:t>№ 44-ра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5387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Об утверждении плана мероприятий («дорожной карты») по снижению рисков нарушения антимонопольного законодательства администрации Дальнереченского муниципального района на 2022-2025г.г.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26.07.2006 г. № 135-ФЗ «О защите конкуренции», Национального плана развития конкуренции в Российской Федерации на 2021-2025 годы, утвержденного распоряжением Правительства Российской Федерации от 02.09.2021 г. </w:t>
      </w:r>
      <w:r>
        <w:rPr>
          <w:rStyle w:val="1pt"/>
          <w:sz w:val="26"/>
          <w:szCs w:val="26"/>
        </w:rPr>
        <w:t>№ 2424-р</w:t>
      </w:r>
      <w:r>
        <w:rPr>
          <w:sz w:val="26"/>
          <w:szCs w:val="26"/>
        </w:rPr>
        <w:t xml:space="preserve"> «О национальном плане развития конкуренции в Российской Федерации на 2021-2025 годы», а также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г. № 2258-р, руководствуясь Уставом Дальнереченского муниципального района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shd w:val="clear" w:color="auto" w:fill="auto"/>
        <w:tabs>
          <w:tab w:val="clear" w:pos="708"/>
          <w:tab w:val="left" w:pos="1138" w:leader="none"/>
        </w:tabs>
        <w:spacing w:lineRule="auto" w:line="240" w:before="0" w:after="0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1. Утвердить прилагаемый план мероприятий («дорожная карта») по снижению рисков нарушения антимонопольного законодательства администрации Дальнереченского муниципального района на 2022-2025 года (далее – план мероприятий).</w:t>
      </w:r>
    </w:p>
    <w:p>
      <w:pPr>
        <w:pStyle w:val="3"/>
        <w:shd w:val="clear" w:color="auto" w:fill="auto"/>
        <w:tabs>
          <w:tab w:val="clear" w:pos="708"/>
          <w:tab w:val="left" w:pos="1138" w:leader="none"/>
        </w:tabs>
        <w:spacing w:lineRule="auto" w:line="240" w:before="0" w:after="0"/>
        <w:ind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2. Руководителям структурных подразделений администрации Дальнереченского муниципального района обеспечить реализацию плана мероприятий настоящего распоряжения.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 Контроль за исполнением настоящего распоряжения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ab/>
        <w:tab/>
        <w:tab/>
        <w:tab/>
        <w:tab/>
        <w:t xml:space="preserve">     В.С. Дернов</w:t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  <w:t>Разослано: Пенкиной,  Поповой, Шелудько, Родионову, Анишиной, Шестернину, Деньгуб, в дело.</w:t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240"/>
        <w:ind w:left="11" w:hanging="11"/>
        <w:jc w:val="right"/>
        <w:rPr>
          <w:sz w:val="20"/>
          <w:szCs w:val="20"/>
        </w:rPr>
      </w:pPr>
      <w:r>
        <w:rPr>
          <w:color w:val="FFFFFF"/>
          <w:sz w:val="28"/>
          <w:szCs w:val="28"/>
        </w:rPr>
        <w:t>(ПРОЕКТ)</w:t>
      </w:r>
      <w:r>
        <w:rPr>
          <w:sz w:val="20"/>
          <w:szCs w:val="20"/>
        </w:rPr>
        <w:t xml:space="preserve"> Приложение № 1 </w:t>
      </w:r>
    </w:p>
    <w:p>
      <w:pPr>
        <w:pStyle w:val="Normal"/>
        <w:spacing w:lineRule="atLeast" w:line="240"/>
        <w:ind w:hanging="590"/>
        <w:jc w:val="right"/>
        <w:rPr>
          <w:sz w:val="26"/>
          <w:szCs w:val="26"/>
        </w:rPr>
      </w:pPr>
      <w:r>
        <w:rPr/>
        <w:t>УТВЕРЖДЕНО</w:t>
        <w:br/>
        <w:t>распоряжением администрации</w:t>
        <w:br/>
        <w:t>Дальнереченского муниципального</w:t>
      </w:r>
    </w:p>
    <w:p>
      <w:pPr>
        <w:pStyle w:val="Normal"/>
        <w:spacing w:lineRule="atLeast" w:line="240"/>
        <w:ind w:hanging="590"/>
        <w:jc w:val="right"/>
        <w:rPr>
          <w:sz w:val="26"/>
          <w:szCs w:val="26"/>
        </w:rPr>
      </w:pPr>
      <w:r>
        <w:rPr/>
        <w:t xml:space="preserve"> </w:t>
      </w:r>
      <w:r>
        <w:rPr/>
        <w:t xml:space="preserve">района от 21.02.2022 года № 44-ра </w:t>
      </w:r>
    </w:p>
    <w:p>
      <w:pPr>
        <w:pStyle w:val="Normal"/>
        <w:spacing w:lineRule="atLeast" w:line="240"/>
        <w:rPr>
          <w:sz w:val="26"/>
          <w:szCs w:val="26"/>
        </w:rPr>
      </w:pPr>
      <w:r>
        <w:rPr/>
      </w:r>
    </w:p>
    <w:p>
      <w:pPr>
        <w:pStyle w:val="Normal"/>
        <w:spacing w:lineRule="atLeast" w:line="240"/>
        <w:jc w:val="center"/>
        <w:rPr>
          <w:sz w:val="26"/>
          <w:szCs w:val="26"/>
        </w:rPr>
      </w:pPr>
      <w:r>
        <w:rPr/>
        <w:t>Карта рисков нарушения антимонопольного законодательства в администрации Дальнереченского</w:t>
      </w:r>
    </w:p>
    <w:p>
      <w:pPr>
        <w:pStyle w:val="Normal"/>
        <w:spacing w:lineRule="atLeast" w:line="240"/>
        <w:jc w:val="center"/>
        <w:rPr>
          <w:sz w:val="26"/>
          <w:szCs w:val="26"/>
        </w:rPr>
      </w:pPr>
      <w:r>
        <w:rPr/>
        <w:t xml:space="preserve"> </w:t>
      </w:r>
      <w:r>
        <w:rPr/>
        <w:t>муниципального района на 2022-2025 годы</w:t>
      </w:r>
    </w:p>
    <w:tbl>
      <w:tblPr>
        <w:tblStyle w:val="TableGrid"/>
        <w:tblpPr w:bottomFromText="0" w:horzAnchor="margin" w:leftFromText="180" w:rightFromText="180" w:tblpX="0" w:tblpY="177" w:topFromText="0" w:vertAnchor="text"/>
        <w:tblW w:w="14982" w:type="dxa"/>
        <w:jc w:val="left"/>
        <w:tblInd w:w="98" w:type="dxa"/>
        <w:tblCellMar>
          <w:top w:w="31" w:type="dxa"/>
          <w:left w:w="98" w:type="dxa"/>
          <w:bottom w:w="0" w:type="dxa"/>
          <w:right w:w="130" w:type="dxa"/>
        </w:tblCellMar>
        <w:tblLook w:val="04a0"/>
      </w:tblPr>
      <w:tblGrid>
        <w:gridCol w:w="552"/>
        <w:gridCol w:w="4081"/>
        <w:gridCol w:w="6097"/>
        <w:gridCol w:w="1134"/>
        <w:gridCol w:w="1558"/>
        <w:gridCol w:w="1559"/>
      </w:tblGrid>
      <w:tr>
        <w:trPr>
          <w:trHeight w:val="1104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Вид комплаенс - риска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Причины и условия возникновения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Уровень риска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Наличие (отсутствие) остаточных рисков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Вероятность повторного возникновения риска</w:t>
            </w:r>
          </w:p>
        </w:tc>
      </w:tr>
      <w:tr>
        <w:trPr>
          <w:trHeight w:val="665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Нарушение антимонопольного законодательства при принятии нормативных правовых актов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низкая</w:t>
            </w:r>
          </w:p>
        </w:tc>
      </w:tr>
      <w:tr>
        <w:trPr>
          <w:trHeight w:val="1600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>
            <w:pPr>
              <w:pStyle w:val="Normal"/>
              <w:suppressAutoHyphens w:val="true"/>
              <w:spacing w:lineRule="atLeast" w:line="160"/>
              <w:ind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Нарушение порядка определения обоснования начальной (максимальной) цены контракта.</w:t>
            </w:r>
          </w:p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Выбор способа определения поставщика (подрядчика, исполнителя), повлекший за собой нарушение антимонопольного законодательства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высокий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низкая</w:t>
            </w:r>
          </w:p>
        </w:tc>
      </w:tr>
      <w:tr>
        <w:trPr>
          <w:trHeight w:val="1562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З.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Взимание платы за предоставление муниципальной услуги, если такая плата не предусмотрена действующим законодательством.</w:t>
            </w:r>
          </w:p>
          <w:p>
            <w:pPr>
              <w:pStyle w:val="Normal"/>
              <w:suppressAutoHyphens w:val="true"/>
              <w:spacing w:lineRule="atLeast" w:line="160"/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</w:t>
            </w:r>
          </w:p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Необоснованный отказ в предоставлении услуги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низкая</w:t>
            </w:r>
          </w:p>
        </w:tc>
      </w:tr>
      <w:tr>
        <w:trPr>
          <w:trHeight w:val="972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Нарушение антимонопольного законодательства при подготовке ответов на обращения физических или юридических лиц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Нарушение сроков ответов на обращения физических и (или) юридических лиц. Не предоставление  ответов  на обращения физических и (или) юридических лиц.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низкая</w:t>
            </w:r>
          </w:p>
        </w:tc>
      </w:tr>
      <w:tr>
        <w:trPr>
          <w:trHeight w:val="1250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Несоблюдение порядка проведения ОРВ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низкая</w:t>
            </w:r>
          </w:p>
        </w:tc>
      </w:tr>
      <w:tr>
        <w:trPr>
          <w:trHeight w:val="963" w:hRule="atLeast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Нарушение антимонопольного законодательства при проведении проверок физических или юридических лиц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ind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ru-RU" w:eastAsia="en-US"/>
              </w:rPr>
              <w:t>Проведение проверок физических или юридических лиц при наличии обстоятельств, исключающих право на проведение проверок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высокий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отсутствие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en-US"/>
              </w:rPr>
              <w:t>низкая</w:t>
            </w:r>
          </w:p>
        </w:tc>
      </w:tr>
    </w:tbl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>
      <w:pPr>
        <w:pStyle w:val="Normal"/>
        <w:spacing w:lineRule="atLeast" w:line="240"/>
        <w:jc w:val="right"/>
        <w:rPr>
          <w:sz w:val="26"/>
          <w:szCs w:val="26"/>
        </w:rPr>
      </w:pPr>
      <w:r>
        <w:rPr/>
        <w:t>УТВЕРЖДЕНА</w:t>
      </w:r>
    </w:p>
    <w:p>
      <w:pPr>
        <w:pStyle w:val="Normal"/>
        <w:spacing w:lineRule="atLeast" w:line="240"/>
        <w:jc w:val="right"/>
        <w:rPr>
          <w:sz w:val="26"/>
          <w:szCs w:val="26"/>
        </w:rPr>
      </w:pPr>
      <w:r>
        <w:rPr/>
        <w:t>распоряжением  администрации</w:t>
      </w:r>
    </w:p>
    <w:p>
      <w:pPr>
        <w:pStyle w:val="Normal"/>
        <w:spacing w:lineRule="atLeast" w:line="240"/>
        <w:jc w:val="right"/>
        <w:rPr>
          <w:sz w:val="26"/>
          <w:szCs w:val="26"/>
        </w:rPr>
      </w:pPr>
      <w:r>
        <w:rPr/>
        <w:t xml:space="preserve"> </w:t>
      </w:r>
      <w:r>
        <w:rPr/>
        <w:t>Дальнереченского муниципального</w:t>
      </w:r>
    </w:p>
    <w:p>
      <w:pPr>
        <w:pStyle w:val="Normal"/>
        <w:spacing w:lineRule="atLeast" w:line="240"/>
        <w:jc w:val="right"/>
        <w:rPr>
          <w:sz w:val="26"/>
          <w:szCs w:val="26"/>
        </w:rPr>
      </w:pPr>
      <w:r>
        <w:rPr/>
        <w:t xml:space="preserve"> </w:t>
      </w:r>
      <w:r>
        <w:rPr/>
        <w:t>района от  21.02.2022 года № 44-ра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sz w:val="20"/>
          <w:szCs w:val="20"/>
        </w:rPr>
      </w:pPr>
      <w:bookmarkStart w:id="0" w:name="_GoBack"/>
      <w:bookmarkEnd w:id="0"/>
      <w:r>
        <w:rPr/>
        <w:t>План мероприятий (дорожная карта) по снижению рисков нарушения антимонопольного законодательства в администрации Дальнереченского муниципального района на 2022-2025 годы</w:t>
      </w:r>
    </w:p>
    <w:tbl>
      <w:tblPr>
        <w:tblStyle w:val="ae"/>
        <w:tblW w:w="1470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4647"/>
        <w:gridCol w:w="2834"/>
        <w:gridCol w:w="1736"/>
        <w:gridCol w:w="4928"/>
      </w:tblGrid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rPr>
                <w:rFonts w:eastAsia="Candara"/>
                <w:color w:val="000000"/>
                <w:spacing w:val="3"/>
                <w:highlight w:val="white"/>
              </w:rPr>
            </w:pPr>
            <w:r>
              <w:rPr>
                <w:rFonts w:eastAsia="Candara" w:cs="Times New Roman"/>
                <w:color w:val="000000"/>
                <w:spacing w:val="3"/>
                <w:shd w:fill="FFFFFF" w:val="clear"/>
              </w:rPr>
              <w:t>Мероприятие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</w:rPr>
              <w:t>Ответственные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</w:rPr>
              <w:t>Срок исполнения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Причины и условия возникновения рисков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rPr>
                <w:sz w:val="26"/>
                <w:szCs w:val="26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Candara" w:cs="Times New Roman"/>
                <w:spacing w:val="3"/>
              </w:rPr>
            </w:pPr>
            <w:r>
              <w:rPr>
                <w:rFonts w:eastAsia="Candara" w:cs="Times New Roman"/>
                <w:spacing w:val="3"/>
              </w:rPr>
              <w:t>Консультирование сотрудников администрации Дальнереченского муниципального района по 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Юридический отдел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ndara" w:cs="Times New Roman"/>
                <w:spacing w:val="3"/>
                <w:shd w:fill="FFFFFF" w:val="clear"/>
              </w:rPr>
              <w:t>Ознакомление сотрудников структурных подразделений администрации Дальнереченского муниципального района с правовыми актами, регулирующими организацию антимонопольного комплаенса.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Candara" w:cs="Times New Roman"/>
                <w:spacing w:val="3"/>
              </w:rPr>
            </w:pPr>
            <w:r>
              <w:rPr>
                <w:rFonts w:eastAsia="Candara" w:cs="Times New Roman"/>
                <w:spacing w:val="3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Все структурные подразделения,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юридический отдел контроль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На постоянной основе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Candara" w:cs="Times New Roman"/>
                <w:spacing w:val="3"/>
              </w:rPr>
            </w:pPr>
            <w:r>
              <w:rPr>
                <w:rFonts w:eastAsia="Candara" w:cs="Times New Roman"/>
                <w:spacing w:val="3"/>
              </w:rPr>
              <w:t>Соблюдение порядка предоставления муниципального имущества в аренду, безвозмездное пользование, передача имущества без торгов, не допущение нарушения порядка проведения процедур.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На постоянной основе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Нарушение установленного законодательства порядка предоставления муниципального имущества.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Candara" w:cs="Times New Roman"/>
                <w:spacing w:val="3"/>
              </w:rPr>
            </w:pPr>
            <w:r>
              <w:rPr>
                <w:rFonts w:eastAsia="Candara" w:cs="Times New Roman"/>
                <w:spacing w:val="3"/>
              </w:rPr>
              <w:t>Соблюдение сроков и исполнения ответов на обращения физических и (или) юридических лиц, в том числе с использованием системы ГИС «Региональная система межведомственного электронного документооборота»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Отдел по работе с территориями и делопроизводству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На постоянной основе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Нарушение (не предоставление) сроков ответов на обращение физических и (или) юридических лиц.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ndara" w:cs="Times New Roman"/>
                <w:spacing w:val="3"/>
              </w:rPr>
              <w:t xml:space="preserve">Повышение квалификации сотрудников уполномоченных подразделений администрации Дальнереченского муниципального района в сфере </w:t>
            </w:r>
            <w:r>
              <w:rPr>
                <w:rFonts w:eastAsia="Times New Roman" w:cs="Times New Roman"/>
              </w:rPr>
              <w:t xml:space="preserve"> антимонопольного законодательства 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Уполномоченные сотрудники администрации, отдел кадров контроль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По мере необходимости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конкуренции.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Мониторинг</w:t>
              <w:tab/>
              <w:t>практики</w:t>
              <w:tab/>
              <w:t>применения антимонопольного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Уполномоченные сотрудники администрации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В течение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года</w:t>
            </w:r>
          </w:p>
        </w:tc>
        <w:tc>
          <w:tcPr>
            <w:tcW w:w="4928" w:type="dxa"/>
            <w:vMerge w:val="restart"/>
            <w:tcBorders/>
          </w:tcPr>
          <w:p>
            <w:pPr>
              <w:pStyle w:val="Normal"/>
              <w:suppressAutoHyphens w:val="true"/>
              <w:spacing w:lineRule="atLeast" w:line="240"/>
              <w:ind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>
            <w:pPr>
              <w:pStyle w:val="Normal"/>
              <w:suppressAutoHyphens w:val="true"/>
              <w:spacing w:lineRule="atLeast" w:line="240"/>
              <w:ind w:hanging="5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</w:rPr>
              <w:t>Нарушение порядка определения обоснования начальной (максимальной) цены контракта.</w:t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Times New Roman" w:eastAsiaTheme="minorHAnsi"/>
              </w:rPr>
              <w:t>Выбор способа определения поставщика (подрядчика, исполнителя), повлекший за собой нарушение антимонопольного законодательства</w:t>
            </w:r>
          </w:p>
        </w:tc>
      </w:tr>
      <w:tr>
        <w:trPr>
          <w:trHeight w:val="1657" w:hRule="atLeast"/>
        </w:trPr>
        <w:tc>
          <w:tcPr>
            <w:tcW w:w="564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Контроль за соблюдением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Уполномоченные сотрудники администрации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В течени</w:t>
            </w:r>
            <w:r>
              <w:rPr>
                <w:rFonts w:eastAsia="Times New Roman" w:cs="Times New Roman"/>
              </w:rPr>
              <w:t xml:space="preserve">е </w:t>
            </w:r>
            <w:r>
              <w:rPr>
                <w:rFonts w:eastAsia="Times New Roman" w:cs="Times New Roman"/>
                <w:lang w:val="en-US"/>
              </w:rPr>
              <w:t>года</w:t>
            </w:r>
          </w:p>
        </w:tc>
        <w:tc>
          <w:tcPr>
            <w:tcW w:w="4928" w:type="dxa"/>
            <w:vMerge w:val="continue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Проведение процедуры оценки регулирующего воздействия на портале Приморского края </w:t>
            </w:r>
            <w:r>
              <w:rPr>
                <w:rFonts w:eastAsia="Times New Roman" w:cs="Times New Roman"/>
                <w:lang w:val="en-US"/>
              </w:rPr>
              <w:t>https</w:t>
            </w:r>
            <w:r>
              <w:rPr>
                <w:rFonts w:eastAsia="Times New Roman" w:cs="Times New Roman"/>
              </w:rPr>
              <w:t>://</w:t>
            </w:r>
            <w:r>
              <w:rPr>
                <w:rFonts w:eastAsia="Times New Roman" w:cs="Times New Roman"/>
                <w:lang w:val="en-US"/>
              </w:rPr>
              <w:t>regulation</w:t>
            </w:r>
            <w:r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  <w:lang w:val="en-US"/>
              </w:rPr>
              <w:t>new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primorsky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ru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Юридический отдел,</w:t>
            </w:r>
          </w:p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структурные подразделения, отдел экономики,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В течение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года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воздействия.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4647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Исключение фактов проведения проверок в отношении физических и юридических лиц, не подлежащих проверке (контрольно-надзорная деятельность)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Отдел архитектуры, градостроительства и ЖКХ; отдел по управлению муниципальным имуществом</w:t>
            </w:r>
          </w:p>
        </w:tc>
        <w:tc>
          <w:tcPr>
            <w:tcW w:w="1736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В течение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года</w:t>
            </w:r>
          </w:p>
        </w:tc>
        <w:tc>
          <w:tcPr>
            <w:tcW w:w="4928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Проведение проверок физических и (или) юридических лиц при наличии обстоятельств, исключающих право на проведение проверок.</w:t>
            </w:r>
          </w:p>
        </w:tc>
      </w:tr>
    </w:tbl>
    <w:p>
      <w:pPr>
        <w:pStyle w:val="Normal"/>
        <w:ind w:firstLine="708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340" w:top="426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ndara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14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e3e28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87a46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87a46"/>
    <w:rPr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9"/>
    <w:uiPriority w:val="99"/>
    <w:qFormat/>
    <w:rsid w:val="007d7737"/>
    <w:rPr>
      <w:sz w:val="28"/>
      <w:szCs w:val="28"/>
    </w:rPr>
  </w:style>
  <w:style w:type="character" w:styleId="Style18" w:customStyle="1">
    <w:name w:val="Без интервала Знак"/>
    <w:link w:val="ab"/>
    <w:qFormat/>
    <w:rsid w:val="005e5b7e"/>
    <w:rPr>
      <w:rFonts w:eastAsia="Calibri"/>
      <w:sz w:val="24"/>
      <w:lang w:eastAsia="en-US" w:bidi="ar-SA"/>
    </w:rPr>
  </w:style>
  <w:style w:type="character" w:styleId="1pt" w:customStyle="1">
    <w:name w:val="Основной текст + Интервал 1 pt"/>
    <w:basedOn w:val="DefaultParagraphFont"/>
    <w:qFormat/>
    <w:rsid w:val="00f736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2"/>
      <w:w w:val="100"/>
      <w:sz w:val="22"/>
      <w:szCs w:val="22"/>
      <w:u w:val="none"/>
      <w:lang w:val="ru-RU"/>
    </w:rPr>
  </w:style>
  <w:style w:type="character" w:styleId="Style19" w:customStyle="1">
    <w:name w:val="Основной текст_"/>
    <w:basedOn w:val="DefaultParagraphFont"/>
    <w:link w:val="3"/>
    <w:qFormat/>
    <w:rsid w:val="00f736de"/>
    <w:rPr>
      <w:spacing w:val="3"/>
      <w:sz w:val="22"/>
      <w:szCs w:val="22"/>
      <w:shd w:fill="FFFFFF" w:val="clear"/>
    </w:rPr>
  </w:style>
  <w:style w:type="character" w:styleId="Candara14pt0pt" w:customStyle="1">
    <w:name w:val="Подпись к картинке + Candara;14 pt;Не полужирный;Курсив;Интервал 0 pt"/>
    <w:basedOn w:val="DefaultParagraphFont"/>
    <w:qFormat/>
    <w:rsid w:val="00f736de"/>
    <w:rPr>
      <w:rFonts w:ascii="Candara" w:hAnsi="Candara" w:eastAsia="Candara" w:cs="Candara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2" w:customStyle="1">
    <w:name w:val="Основной текст2"/>
    <w:basedOn w:val="Style19"/>
    <w:qFormat/>
    <w:rsid w:val="00d1785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2"/>
      <w:szCs w:val="22"/>
      <w:u w:val="none"/>
      <w:shd w:fill="FFFFFF" w:val="clear"/>
      <w:lang w:val="ru-RU"/>
    </w:rPr>
  </w:style>
  <w:style w:type="character" w:styleId="10pt0pt" w:customStyle="1">
    <w:name w:val="Основной текст + 10 pt;Интервал 0 pt"/>
    <w:basedOn w:val="Style19"/>
    <w:qFormat/>
    <w:rsid w:val="00d1785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shd w:fill="FFFFFF" w:val="clear"/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semiHidden/>
    <w:qFormat/>
    <w:rsid w:val="000714f2"/>
    <w:pPr/>
    <w:rPr>
      <w:rFonts w:ascii="Tahoma" w:hAnsi="Tahoma" w:cs="Tahoma"/>
      <w:sz w:val="16"/>
      <w:szCs w:val="16"/>
    </w:rPr>
  </w:style>
  <w:style w:type="paragraph" w:styleId="Formattext" w:customStyle="1">
    <w:name w:val="formattext"/>
    <w:basedOn w:val="Normal"/>
    <w:qFormat/>
    <w:rsid w:val="00287a46"/>
    <w:pPr>
      <w:spacing w:beforeAutospacing="1" w:afterAutospacing="1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287a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semiHidden/>
    <w:unhideWhenUsed/>
    <w:rsid w:val="00287a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link w:val="aa"/>
    <w:uiPriority w:val="99"/>
    <w:rsid w:val="007d7737"/>
    <w:pPr>
      <w:spacing w:lineRule="auto" w:line="360"/>
      <w:jc w:val="both"/>
    </w:pPr>
    <w:rPr>
      <w:sz w:val="28"/>
      <w:szCs w:val="28"/>
    </w:rPr>
  </w:style>
  <w:style w:type="paragraph" w:styleId="ConsPlusNonformat" w:customStyle="1">
    <w:name w:val="ConsPlusNonformat"/>
    <w:qFormat/>
    <w:rsid w:val="000351a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link w:val="ac"/>
    <w:qFormat/>
    <w:rsid w:val="005e5b7e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4"/>
      <w:szCs w:val="20"/>
      <w:lang w:eastAsia="en-US" w:val="ru-RU" w:bidi="ar-SA"/>
    </w:rPr>
  </w:style>
  <w:style w:type="paragraph" w:styleId="3" w:customStyle="1">
    <w:name w:val="Основной текст3"/>
    <w:basedOn w:val="Normal"/>
    <w:link w:val="ad"/>
    <w:qFormat/>
    <w:rsid w:val="00f736de"/>
    <w:pPr>
      <w:widowControl w:val="false"/>
      <w:shd w:val="clear" w:color="auto" w:fill="FFFFFF"/>
      <w:spacing w:lineRule="auto" w:before="240" w:after="360"/>
      <w:jc w:val="center"/>
    </w:pPr>
    <w:rPr>
      <w:spacing w:val="3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e6e64"/>
    <w:rPr>
      <w:rFonts w:asciiTheme="minorHAnsi" w:hAnsiTheme="minorHAnsi" w:eastAsiaTheme="minorHAnsi"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e6e64"/>
    <w:rPr>
      <w:rFonts w:asciiTheme="minorHAnsi" w:hAnsiTheme="minorHAnsi" w:eastAsiaTheme="minorEastAsia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61</TotalTime>
  <Application>LibreOffice/6.4.4.2$Linux_X86_64 LibreOffice_project/40$Build-2</Application>
  <Pages>5</Pages>
  <Words>827</Words>
  <Characters>6835</Characters>
  <CharactersWithSpaces>7600</CharactersWithSpaces>
  <Paragraphs>124</Paragraphs>
  <Company>USN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2022-01-18T02:04:00Z</dcterms:created>
  <dc:creator>406ZMA</dc:creator>
  <dc:description/>
  <dc:language>ru-RU</dc:language>
  <cp:lastModifiedBy/>
  <cp:lastPrinted>2021-01-14T23:43:00Z</cp:lastPrinted>
  <dcterms:modified xsi:type="dcterms:W3CDTF">2022-02-24T11:46:35Z</dcterms:modified>
  <cp:revision>12</cp:revision>
  <dc:subject/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