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310" w:type="dxa"/>
        <w:jc w:val="left"/>
        <w:tblInd w:w="-396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280"/>
        <w:gridCol w:w="4397"/>
        <w:gridCol w:w="567"/>
        <w:gridCol w:w="996"/>
        <w:gridCol w:w="1157"/>
        <w:gridCol w:w="950"/>
        <w:gridCol w:w="932"/>
        <w:gridCol w:w="1033"/>
        <w:gridCol w:w="996"/>
      </w:tblGrid>
      <w:tr>
        <w:trPr>
          <w:trHeight w:val="136" w:hRule="atLeast"/>
        </w:trPr>
        <w:tc>
          <w:tcPr>
            <w:tcW w:w="11308" w:type="dxa"/>
            <w:gridSpan w:val="9"/>
            <w:tcBorders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Показатели развития малого и среднего предпринимательства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за 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квартал </w:t>
            </w:r>
            <w:r>
              <w:rPr>
                <w:b/>
                <w:color w:val="000000"/>
                <w:sz w:val="24"/>
                <w:szCs w:val="24"/>
              </w:rPr>
              <w:t>2025 года в муниципальном образовании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Дальнереченского муниципального района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</w:tc>
      </w:tr>
      <w:tr>
        <w:trPr>
          <w:trHeight w:val="849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п/п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 кв. 2025 года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 кв. 2025 года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 кв. 2025 года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 кв. 2025 года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2025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</w:tr>
      <w:tr>
        <w:trPr>
          <w:trHeight w:val="68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>
        <w:trPr>
          <w:trHeight w:val="156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организаций всех форм собственности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68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66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156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малых предприятий на 10 тысяч человек населения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255,4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257,9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257,9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156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средних предприятий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60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На территории Дальнереченского МР средних предприятий не зарегистрировано</w:t>
            </w:r>
          </w:p>
        </w:tc>
      </w:tr>
      <w:tr>
        <w:trPr>
          <w:trHeight w:val="92" w:hRule="atLeast"/>
          <w:cantSplit w:val="true"/>
        </w:trPr>
        <w:tc>
          <w:tcPr>
            <w:tcW w:w="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малых предприятий (МП)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36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34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92" w:hRule="atLeast"/>
          <w:cantSplit w:val="true"/>
        </w:trPr>
        <w:tc>
          <w:tcPr>
            <w:tcW w:w="2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видам  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2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63" w:leader="none"/>
                <w:tab w:val="center" w:pos="466" w:leader="none"/>
              </w:tabs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12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68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</w:tr>
      <w:tr>
        <w:trPr>
          <w:trHeight w:val="68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10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12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12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3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13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8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26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10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10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13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9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</w:tr>
      <w:tr>
        <w:trPr>
          <w:trHeight w:val="9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9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</w:tr>
      <w:tr>
        <w:trPr>
          <w:trHeight w:val="9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</w:tr>
      <w:tr>
        <w:trPr>
          <w:trHeight w:val="9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</w:tr>
      <w:tr>
        <w:trPr>
          <w:trHeight w:val="9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9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</w:tr>
      <w:tr>
        <w:trPr>
          <w:trHeight w:val="9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9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хозяйствующих субъектов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228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228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9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предприятий МП в числе хозяйствующих субъектов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15,9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15,8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14,9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204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индивидуальных предпринимателей (ИП)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161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162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116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Оборот полного круга организаций и предприятий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нет данных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нет данных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нет данных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нет данных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нет данных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нет данных</w:t>
            </w:r>
          </w:p>
        </w:tc>
      </w:tr>
      <w:tr>
        <w:trPr>
          <w:trHeight w:val="116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Оборот средних предприятий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60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На территории Дальнереченского МР средних предприятий не зарегистрировано</w:t>
            </w:r>
          </w:p>
        </w:tc>
      </w:tr>
      <w:tr>
        <w:trPr>
          <w:trHeight w:val="116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Выручка ИП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нет данных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нет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данных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нет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данных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нет данных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нет данных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нет данных</w:t>
            </w:r>
          </w:p>
        </w:tc>
      </w:tr>
      <w:tr>
        <w:trPr>
          <w:trHeight w:val="552" w:hRule="atLeast"/>
          <w:cantSplit w:val="true"/>
        </w:trPr>
        <w:tc>
          <w:tcPr>
            <w:tcW w:w="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Оборот малых  предприятий (МП) - оценка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813,6*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92,4*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210,5*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104" w:hRule="atLeast"/>
          <w:cantSplit w:val="true"/>
        </w:trPr>
        <w:tc>
          <w:tcPr>
            <w:tcW w:w="2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видам деятельности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2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619,8*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33,7*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105,4*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68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68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04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104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12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2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3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185,2*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57,3*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100,3</w:t>
            </w:r>
            <w:r>
              <w:rPr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171" w:after="171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3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3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8,6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4,8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0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0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3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9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9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9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9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4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49,4*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50,1*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50,1*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4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1,063*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1,065*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1,077*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4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60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  <w:shd w:fill="auto" w:val="clear"/>
              </w:rPr>
              <w:t>На территории Дальнереченского МР средних предприятий не зарегистрировано</w:t>
            </w:r>
          </w:p>
        </w:tc>
      </w:tr>
      <w:tr>
        <w:trPr>
          <w:trHeight w:val="14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численность работников ИП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0,152*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0,153*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0,160*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0,430*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0,433*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0,465*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2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видам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2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0,163*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0,163*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0,163*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68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68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04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0,025*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0,025*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0,022*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04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2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2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0,035*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0,040*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0,080*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3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0,167*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0,165*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0,160*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0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0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9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9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0,04*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0,04*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0,04*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44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30,0*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37,0*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42,5*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  <w:lang w:val="en-US"/>
              </w:rPr>
            </w:pPr>
            <w:r>
              <w:rPr>
                <w:color w:val="000000"/>
                <w:sz w:val="22"/>
                <w:szCs w:val="22"/>
                <w:shd w:fill="auto" w:val="clear"/>
                <w:lang w:val="en-US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256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финансовых средств, предусмотренных на поддержку субъектов малого и среднего предпринимательства (МСП) в бюджете на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0,1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0,405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0,405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</w:tr>
      <w:tr>
        <w:trPr>
          <w:trHeight w:val="204" w:hRule="atLeast"/>
          <w:cantSplit w:val="true"/>
        </w:trPr>
        <w:tc>
          <w:tcPr>
            <w:tcW w:w="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субъектов МСП, получивших поддержку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</w:tr>
      <w:tr>
        <w:trPr>
          <w:trHeight w:val="68" w:hRule="atLeast"/>
          <w:cantSplit w:val="true"/>
        </w:trPr>
        <w:tc>
          <w:tcPr>
            <w:tcW w:w="2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из 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6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-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</w:tr>
      <w:tr>
        <w:trPr>
          <w:trHeight w:val="9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>бюджета Приморского края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auto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92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>
              <w:rPr>
                <w:color w:val="000000"/>
                <w:sz w:val="22"/>
                <w:szCs w:val="22"/>
              </w:rPr>
              <w:t>средств местных бюджетов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4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внебюджетного фонда Особой экономической зоны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4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Регионального фонда поддержки МП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40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Муниципальных фондов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553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других источников (в примечании - указать источники)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40" w:hRule="atLeast"/>
        </w:trPr>
        <w:tc>
          <w:tcPr>
            <w:tcW w:w="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финансовых средств, полученных субъектами МСП из: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369,74</w:t>
            </w:r>
          </w:p>
        </w:tc>
        <w:tc>
          <w:tcPr>
            <w:tcW w:w="11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</w:tr>
      <w:tr>
        <w:trPr>
          <w:trHeight w:val="140" w:hRule="atLeast"/>
        </w:trPr>
        <w:tc>
          <w:tcPr>
            <w:tcW w:w="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11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40" w:hRule="atLeast"/>
        </w:trPr>
        <w:tc>
          <w:tcPr>
            <w:tcW w:w="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бюджета Приморского края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319,74</w:t>
            </w:r>
          </w:p>
        </w:tc>
        <w:tc>
          <w:tcPr>
            <w:tcW w:w="11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</w:tr>
      <w:tr>
        <w:trPr>
          <w:trHeight w:val="140" w:hRule="atLeast"/>
        </w:trPr>
        <w:tc>
          <w:tcPr>
            <w:tcW w:w="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 местных бюджетов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50,00</w:t>
            </w:r>
          </w:p>
        </w:tc>
        <w:tc>
          <w:tcPr>
            <w:tcW w:w="11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40" w:hRule="atLeast"/>
        </w:trPr>
        <w:tc>
          <w:tcPr>
            <w:tcW w:w="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других источников (в примечании - указать источники)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11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44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проведено торгов и других способов размещения заказа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themeColor="text1"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themeColor="text1" w:val="000000"/>
                <w:sz w:val="22"/>
                <w:szCs w:val="22"/>
                <w:shd w:fill="auto" w:val="clear"/>
              </w:rPr>
              <w:t>2332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themeColor="text1"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themeColor="text1"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44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themeColor="text1"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themeColor="text1" w:val="000000"/>
                <w:sz w:val="22"/>
                <w:szCs w:val="22"/>
                <w:shd w:fill="auto" w:val="clear"/>
              </w:rPr>
              <w:t>291327,6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102501,6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true"/>
              <w:ind w:hanging="0"/>
              <w:jc w:val="left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suppressAutoHyphens w:val="true"/>
              <w:ind w:hanging="0"/>
              <w:jc w:val="left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195417,9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themeColor="text1"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themeColor="text1"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44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color w:themeColor="text1" w:val="000000"/>
                <w:sz w:val="22"/>
                <w:szCs w:val="22"/>
                <w:shd w:fill="auto" w:val="clear"/>
              </w:rPr>
              <w:t>79329,8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12273,7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ind w:hanging="0"/>
              <w:jc w:val="left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83340,1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56" w:hRule="atLeast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заказов, размещенных у субъектов среднего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27,3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42,6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</w:tbl>
    <w:p>
      <w:pPr>
        <w:pStyle w:val="Normal"/>
        <w:rPr>
          <w:highlight w:val="none"/>
          <w:shd w:fill="auto" w:val="clear"/>
        </w:rPr>
      </w:pPr>
      <w:r>
        <w:rPr>
          <w:sz w:val="16"/>
          <w:szCs w:val="16"/>
          <w:shd w:fill="auto" w:val="clear"/>
        </w:rPr>
        <w:t>Цифра*- проставлены оценочные данные исходя из прошлых периодов, так как органы государственной статистики не ведут счет данных показателей.</w:t>
      </w:r>
    </w:p>
    <w:p>
      <w:pPr>
        <w:pStyle w:val="Normal"/>
        <w:rPr>
          <w:highlight w:val="none"/>
          <w:shd w:fill="auto" w:val="clear"/>
        </w:rPr>
      </w:pPr>
      <w:r>
        <w:rPr>
          <w:sz w:val="16"/>
          <w:szCs w:val="16"/>
          <w:shd w:fill="auto" w:val="clear"/>
        </w:rPr>
        <w:t xml:space="preserve">            </w:t>
      </w:r>
      <w:r>
        <w:rPr>
          <w:sz w:val="16"/>
          <w:szCs w:val="16"/>
          <w:shd w:fill="auto" w:val="clear"/>
        </w:rPr>
        <w:t>* - строки со звездочками – органы государственной статистики не ведут счет данных показателей в разрезе муниципального образования</w:t>
      </w:r>
    </w:p>
    <w:p>
      <w:pPr>
        <w:pStyle w:val="Normal"/>
        <w:rPr>
          <w:sz w:val="16"/>
          <w:szCs w:val="16"/>
          <w:highlight w:val="none"/>
          <w:shd w:fill="auto" w:val="clear"/>
        </w:rPr>
      </w:pPr>
      <w:r>
        <w:rPr>
          <w:sz w:val="16"/>
          <w:szCs w:val="16"/>
          <w:shd w:fill="auto" w:val="clear"/>
        </w:rPr>
      </w:r>
    </w:p>
    <w:p>
      <w:pPr>
        <w:pStyle w:val="Normal"/>
        <w:spacing w:lineRule="auto" w:line="288" w:before="0" w:after="0"/>
        <w:ind w:firstLine="720"/>
        <w:contextualSpacing/>
        <w:jc w:val="center"/>
        <w:rPr>
          <w:highlight w:val="none"/>
          <w:shd w:fill="auto" w:val="clear"/>
        </w:rPr>
      </w:pPr>
      <w:bookmarkStart w:id="0" w:name="_GoBack"/>
      <w:bookmarkEnd w:id="0"/>
      <w:r>
        <w:rPr>
          <w:b/>
          <w:sz w:val="28"/>
          <w:szCs w:val="28"/>
          <w:shd w:fill="auto" w:val="clear"/>
        </w:rPr>
        <w:t>Пояснительная записка к отчету о показателях развития малого и среднего  предпринимательства Дальнереченского муниципального района за 2 квартал 2025 года.</w:t>
      </w:r>
    </w:p>
    <w:p>
      <w:pPr>
        <w:pStyle w:val="Normal"/>
        <w:spacing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По состоянию на 01.07.2025 года на территории Дальнереченского муниципального района зарегистрировано 196 субъектов малого предпринимательства, из них: юридических лиц - 34 и индивидуальных предпринимателей - 162.  </w:t>
      </w:r>
    </w:p>
    <w:p>
      <w:pPr>
        <w:pStyle w:val="Normal"/>
        <w:spacing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 сравнению аналогичным периодом прошлого года численность индивидуальных предпринимателей осталась на прежнем уровне, численность юридических лиц уменьшилась на 1 ед. Средняя численность работников индивидуальных предпринимателей по оценочным данным составила 160 человек. По оценочным данным средняя численность работников малых предприятий составляет  465 человек.</w:t>
      </w:r>
    </w:p>
    <w:p>
      <w:pPr>
        <w:pStyle w:val="Normal"/>
        <w:spacing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Из общего оборота малых предприятий наибольшую долю занимает оборот предприятий оптовой и розничной торговли, сельского хозяйства.</w:t>
      </w:r>
    </w:p>
    <w:p>
      <w:pPr>
        <w:pStyle w:val="Normal"/>
        <w:spacing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spacing w:val="-2"/>
          <w:sz w:val="28"/>
          <w:szCs w:val="28"/>
          <w:shd w:fill="auto" w:val="clear"/>
        </w:rPr>
        <w:t xml:space="preserve">Среднемесячная заработная плата работникам предприятий выросла на 14,9% и составила в среднем 42,5 тыс. руб. </w:t>
      </w:r>
      <w:r>
        <w:rPr>
          <w:sz w:val="28"/>
          <w:szCs w:val="28"/>
          <w:shd w:fill="auto" w:val="clear"/>
          <w:lang w:eastAsia="zh-CN"/>
        </w:rPr>
        <w:t>Объем платных услуг, оказываемых населению за 1 полугодие 2025 года - составил 8,2 млн. руб., увеличение по сравнению с аналогичным  периодом прошлого года составил 6,5%.</w:t>
      </w: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  <w:lang w:eastAsia="zh-CN"/>
        </w:rPr>
        <w:t xml:space="preserve">Оборот общественного питания составил 4,8 млн. руб., увеличение к соответствующему периоду прошлого года составляет 6,7%. </w:t>
      </w:r>
    </w:p>
    <w:p>
      <w:pPr>
        <w:pStyle w:val="Normal"/>
        <w:spacing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 видам экономической деятельности наибольшее число субъектов малого бизнеса представлено в сельском хозяйстве, сфере розничной торговли</w:t>
      </w:r>
      <w:r>
        <w:rPr>
          <w:color w:val="000000"/>
          <w:sz w:val="28"/>
          <w:szCs w:val="28"/>
          <w:shd w:fill="auto" w:val="clear"/>
        </w:rPr>
        <w:t xml:space="preserve">. За отчетный период в малом бизнесе дополнительно создано 19 рабочих мест (регистрация предпринимательской деятельности). </w:t>
      </w:r>
    </w:p>
    <w:p>
      <w:pPr>
        <w:pStyle w:val="Normal"/>
        <w:spacing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 предварительной оценке, оборот малого предпринимательства за 1-</w:t>
      </w:r>
      <w:r>
        <w:rPr>
          <w:sz w:val="28"/>
          <w:szCs w:val="28"/>
          <w:shd w:fill="auto" w:val="clear"/>
        </w:rPr>
        <w:t>е полугодие</w:t>
      </w:r>
      <w:r>
        <w:rPr>
          <w:sz w:val="28"/>
          <w:szCs w:val="28"/>
          <w:shd w:fill="auto" w:val="clear"/>
        </w:rPr>
        <w:t xml:space="preserve"> 2025 года  составил </w:t>
      </w:r>
      <w:r>
        <w:rPr>
          <w:sz w:val="28"/>
          <w:szCs w:val="28"/>
          <w:shd w:fill="auto" w:val="clear"/>
        </w:rPr>
        <w:t>210,5</w:t>
      </w:r>
      <w:r>
        <w:rPr>
          <w:sz w:val="28"/>
          <w:szCs w:val="28"/>
          <w:shd w:fill="auto" w:val="clear"/>
        </w:rPr>
        <w:t>* млн. руб.</w:t>
      </w:r>
    </w:p>
    <w:p>
      <w:pPr>
        <w:pStyle w:val="Normal"/>
        <w:spacing w:lineRule="auto" w:line="288" w:before="0" w:after="0"/>
        <w:ind w:firstLine="567" w:left="567"/>
        <w:contextualSpacing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                      </w:t>
      </w:r>
    </w:p>
    <w:p>
      <w:pPr>
        <w:pStyle w:val="Normal"/>
        <w:spacing w:lineRule="auto" w:line="288" w:before="0" w:after="0"/>
        <w:ind w:firstLine="567" w:left="567"/>
        <w:contextualSpacing/>
        <w:jc w:val="center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 </w:t>
      </w:r>
      <w:r>
        <w:rPr>
          <w:b/>
          <w:sz w:val="28"/>
          <w:szCs w:val="28"/>
          <w:shd w:fill="auto" w:val="clear"/>
        </w:rPr>
        <w:t>Меры муниципальной поддержки развития МП</w:t>
      </w:r>
    </w:p>
    <w:p>
      <w:pPr>
        <w:pStyle w:val="Normal"/>
        <w:spacing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Поддержка малого предпринимательства, формирование благоприятного климата для его дальнейшего развития, является одним из приоритетных направлений деятельности администрации муниципального района. Органами местного самоуправления создана нормативно правовая база, регулирующая отношения бизнеса и власти.</w:t>
      </w:r>
    </w:p>
    <w:p>
      <w:pPr>
        <w:pStyle w:val="Normal"/>
        <w:spacing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Постановлением администрации Дальнереченского муниципального района от 14.11.2024 № 581-па утверждена муниципальная программа «Развитие предпринимательства в Дальнереченском муниципальном</w:t>
      </w:r>
      <w:bookmarkStart w:id="1" w:name="bookmark2"/>
      <w:r>
        <w:rPr>
          <w:sz w:val="28"/>
          <w:szCs w:val="28"/>
          <w:shd w:fill="auto" w:val="clear"/>
        </w:rPr>
        <w:t xml:space="preserve"> районе на 2025 - 2029 годы»</w:t>
      </w:r>
      <w:bookmarkEnd w:id="1"/>
      <w:r>
        <w:rPr>
          <w:sz w:val="28"/>
          <w:szCs w:val="28"/>
          <w:shd w:fill="auto" w:val="clear"/>
        </w:rPr>
        <w:t xml:space="preserve">. </w:t>
      </w:r>
      <w:r>
        <w:rPr>
          <w:sz w:val="28"/>
          <w:szCs w:val="28"/>
          <w:shd w:fill="auto" w:val="clear"/>
          <w:lang w:eastAsia="zh-CN"/>
        </w:rPr>
        <w:t>В рамках реализации этой программы в 2025 году в бюджете муниципального района предусмотрено 405,00 тыс руб: на проведение профессиональных праздников, популяризация предпринимательской деятельности и формирование положительного имиджа предпринимателя, развития социального предпринимательства, а также на проведение семинаров, бизнес-встреч - 55,00 тыс. руб.; популяризацию продукции местных производителей, содействие в участии юридических лиц и индивидуальных предпринимателей (в том числе самозанятых граждан и граждан ведущих личное подсобное хозяйство) выставках, ярмарках и иных реализуемых проектов на территории Приморского края – 50,00 тыс. руб.; возмещение части затрат субъектам малого и среднего предпринимательства, осуществляющих свою деятельность в сфере социального предпринимательства – 50,00 тыс. руб.; возмещение части затрат субъектам малого и среднего предпринимательства, осуществляющих свою деятельность в области сельскохозяйственного производства – 200,00 тыс. руб.; возмещение части затрат субъектам малого и среднего предпринимательства, связанных с производством хлеба и мучных кондитерских изделий  – 50,00 тыс. руб.</w:t>
      </w:r>
    </w:p>
    <w:p>
      <w:pPr>
        <w:pStyle w:val="Normal"/>
        <w:spacing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рамках реализации Государственной программы Приморского края «Развитие сельского хозяйства и регулирования рынков сельскохозяйственной продукции, сырья и продовольствия. Повышение уровня жизни сельского населения Приморского края на 2020 - 2027 годы» между сельскохозяйственными товаропроизводителями Дальнереченского муниципального района и Министерством сельского хозяйства Приморского края заключены соглашения о плановых размерах посевных площадей и валовом сборе продукции сельского хозяйства на 2025 год.</w:t>
      </w:r>
    </w:p>
    <w:p>
      <w:pPr>
        <w:pStyle w:val="Normal"/>
        <w:suppressAutoHyphens w:val="true"/>
        <w:ind w:firstLine="567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За январь-июнь 2025  года муниципальными заказчиками проведено 1 181 торгов и других способов закупок на поставки товаров, выполнение работ, оказание услуг для нужд Дальнереченского муниципального района, из них 42 аукциона в электронной форме, 1139 закупки у единственного поставщика согласно п. 1, 8, 4, 5,9,  26, 29  ч.1 ст. 93 Федерального закона от 05.04.2013 г. № 44-ФЗ. </w:t>
      </w:r>
    </w:p>
    <w:p>
      <w:pPr>
        <w:pStyle w:val="Normal"/>
        <w:suppressAutoHyphens w:val="true"/>
        <w:ind w:firstLine="567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 итогам размещения заказов на поставки товаров, выполнение работ, оказание услуг за январь-июнь 2025 года заключено муниципальных контрактов и иных гражданско-правовых договоров на сумму 195 417,9 тыс. руб., из них по проведенным аукционам в электронной форме - на сумму 74 487,0 тыс. руб.; у единственного поставщика (согласно п. 1, 4, 5, 8, 9, 26, 29 ч.1 ст. 93 Федерального закона от 05.04.2013 г. № 44-ФЗ) - на сумму  120 930,9 тыс. руб., в т.ч. коммунальные услуги на сумму – 32 694,1 тыс. руб</w:t>
      </w:r>
      <w:bookmarkStart w:id="2" w:name="_Hlk165988934"/>
      <w:r>
        <w:rPr>
          <w:sz w:val="28"/>
          <w:szCs w:val="28"/>
          <w:shd w:fill="auto" w:val="clear"/>
        </w:rPr>
        <w:t>.(16,7% от общей суммы заключенных контрактов)</w:t>
      </w:r>
      <w:bookmarkEnd w:id="2"/>
      <w:r>
        <w:rPr>
          <w:sz w:val="28"/>
          <w:szCs w:val="28"/>
          <w:shd w:fill="auto" w:val="clear"/>
        </w:rPr>
        <w:t>; подрядные работы – 68 967,2 тыс. руб.(35,3% от общей суммы заключенных контрактов), продукты питания – 13 469,7 (6,9% от общей суммы заключенных контрактов), прочие на сумму – 76 940,7 тыс. руб.(39,4% от общей суммы заключенных контрактов).  Экономия составила – 10844,9 тыс. руб.</w:t>
      </w:r>
    </w:p>
    <w:p>
      <w:pPr>
        <w:pStyle w:val="Normal"/>
        <w:suppressAutoHyphens w:val="true"/>
        <w:ind w:firstLine="567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За январь-июнь 2025 года закуплено товаров, работ и услуг у субъектов малого и среднего предпринимательства и социально ориентированных некоммерческих организаций на сумму 83340,1 тыс. руб.</w:t>
      </w:r>
    </w:p>
    <w:p>
      <w:pPr>
        <w:pStyle w:val="Normal"/>
        <w:suppressAutoHyphens w:val="true"/>
        <w:ind w:firstLine="567"/>
        <w:jc w:val="both"/>
        <w:rPr>
          <w:sz w:val="28"/>
          <w:szCs w:val="28"/>
          <w:highlight w:val="none"/>
          <w:shd w:fill="auto" w:val="clear"/>
        </w:rPr>
      </w:pPr>
      <w:r>
        <w:rPr>
          <w:rFonts w:cs="Times New Roman"/>
          <w:b/>
          <w:iCs/>
          <w:color w:val="000000"/>
          <w:sz w:val="28"/>
          <w:szCs w:val="28"/>
          <w:shd w:fill="auto" w:val="clear"/>
          <w:lang w:eastAsia="zh-CN"/>
        </w:rPr>
        <w:t xml:space="preserve"> </w:t>
      </w:r>
      <w:r>
        <w:rPr>
          <w:rFonts w:cs="Times New Roman"/>
          <w:iCs/>
          <w:color w:val="000000"/>
          <w:sz w:val="28"/>
          <w:szCs w:val="28"/>
          <w:shd w:fill="auto" w:val="clear"/>
          <w:lang w:eastAsia="zh-CN"/>
        </w:rPr>
        <w:t>Нарушений в части размещения муниципальных заказов не выявлено.</w:t>
      </w:r>
    </w:p>
    <w:p>
      <w:pPr>
        <w:pStyle w:val="Normal"/>
        <w:spacing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За январь-июнь 2025 года из бюджета Дальнереченского муниципального района были предоставлены субсидии юридическим лицам на возмещение затрат недополученных доходов связанных с осуществлением регулярных пассажирских перевозок автомобильным транспортом по регулируемым тарифам на территории Дальнереченского муниципального района в разме</w:t>
      </w:r>
      <w:r>
        <w:rPr>
          <w:i w:val="false"/>
          <w:iCs w:val="false"/>
          <w:sz w:val="28"/>
          <w:szCs w:val="28"/>
          <w:shd w:fill="auto" w:val="clear"/>
        </w:rPr>
        <w:t>ре 5 154,77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ru-RU"/>
        </w:rPr>
        <w:t xml:space="preserve"> </w:t>
      </w:r>
      <w:r>
        <w:rPr>
          <w:i w:val="false"/>
          <w:iCs w:val="false"/>
          <w:sz w:val="28"/>
          <w:szCs w:val="28"/>
          <w:shd w:fill="auto" w:val="clear"/>
        </w:rPr>
        <w:t>тыс. р</w:t>
      </w:r>
      <w:r>
        <w:rPr>
          <w:sz w:val="28"/>
          <w:szCs w:val="28"/>
          <w:shd w:fill="auto" w:val="clear"/>
        </w:rPr>
        <w:t>уб.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2025 году продолжилась работа по снабжению граждан твердым топливом  (дровами), проживающих в жилых домах с печным отоплением на территории Дальнереченского муниципального района. </w:t>
      </w:r>
      <w:r>
        <w:rPr>
          <w:b w:val="false"/>
          <w:bCs w:val="false"/>
          <w:sz w:val="28"/>
          <w:szCs w:val="28"/>
          <w:shd w:fill="auto" w:val="clear"/>
        </w:rPr>
        <w:t>В</w:t>
      </w:r>
      <w:r>
        <w:rPr>
          <w:rFonts w:cs="Times New Roman"/>
          <w:b w:val="false"/>
          <w:bCs w:val="false"/>
          <w:sz w:val="28"/>
          <w:szCs w:val="28"/>
          <w:shd w:fill="auto" w:val="clear"/>
        </w:rPr>
        <w:t xml:space="preserve"> целях возмещения недополученных доходов юридическим лицам, индивидуальным предпринимателям, осуществляющим обеспечение населения  дровами в</w:t>
      </w:r>
      <w:r>
        <w:rPr>
          <w:sz w:val="28"/>
          <w:szCs w:val="28"/>
          <w:shd w:fill="auto" w:val="clear"/>
        </w:rPr>
        <w:t>ыделено субсидии в размере 15,10 млн. руб. За 1 полугодие 2025 года по фиксированному тарифу получили дрова 650 семей района, объем реализованного топлива составил 6 316,11 м3. План освоения субсидии составил  98%.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По программе «Дальневосточный гектар» по освоению земель граждане получили право безвозмездно получить в свое распоряжение земельный надел на Дальнем Востоке для различных целей, в том числе для ведения бизнеса, работы на себя или просто для проживания.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За первое полугодие 2025 года под программу «Дальневосточным гектар» выделено 30 земельных участков, общей площадью 21,6 Га. Всего, за период действия программы выделено 411,8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г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а земли.</w:t>
      </w:r>
    </w:p>
    <w:p>
      <w:pPr>
        <w:pStyle w:val="Normal"/>
        <w:widowControl w:val="false"/>
        <w:tabs>
          <w:tab w:val="clear" w:pos="720"/>
          <w:tab w:val="center" w:pos="4677" w:leader="none"/>
        </w:tabs>
        <w:suppressAutoHyphens w:val="tru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 официальном сайте администрации Дальнереченского муниципального района размещена информация о мерах поддержки субъектам малого и среднего предпринимательства в разделах «Инвестиционная деятельность» и «Малое и среднее предпринимательство».</w:t>
      </w:r>
    </w:p>
    <w:p>
      <w:pPr>
        <w:pStyle w:val="Normal"/>
        <w:widowControl w:val="false"/>
        <w:tabs>
          <w:tab w:val="clear" w:pos="720"/>
          <w:tab w:val="center" w:pos="4677" w:leader="none"/>
        </w:tabs>
        <w:ind w:firstLine="69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При Главе администрации Дальнереченского муниицпальнного района  продолжает работу Совет </w:t>
      </w:r>
      <w:r>
        <w:rPr>
          <w:bCs/>
          <w:sz w:val="28"/>
          <w:szCs w:val="28"/>
          <w:shd w:fill="auto" w:val="clear"/>
        </w:rPr>
        <w:t>по улучшению инвестиционного климата и развития предпринимательства</w:t>
      </w:r>
      <w:r>
        <w:rPr>
          <w:sz w:val="28"/>
          <w:szCs w:val="28"/>
          <w:shd w:fill="auto" w:val="clear"/>
        </w:rPr>
        <w:t xml:space="preserve">. За текущий период проведено 2 заседания Совета, на котором рассматривались вопросы предпринимательской деятельности, законодательства, </w:t>
      </w:r>
      <w:r>
        <w:rPr>
          <w:bCs/>
          <w:sz w:val="28"/>
          <w:szCs w:val="28"/>
          <w:shd w:fill="auto" w:val="clear"/>
        </w:rPr>
        <w:t>реализации социального контракта</w:t>
      </w:r>
      <w:r>
        <w:rPr>
          <w:sz w:val="28"/>
          <w:szCs w:val="28"/>
          <w:shd w:fill="auto" w:val="clear"/>
        </w:rPr>
        <w:t xml:space="preserve"> и другие.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sz w:val="28"/>
          <w:szCs w:val="28"/>
          <w:shd w:fill="auto" w:val="clear"/>
          <w:lang w:eastAsia="en-US"/>
        </w:rPr>
        <w:t>В соответствии со ст. 18 Федерального закона от 24.07.2007 г. № 209-ФЗ «О развитии малого предпринимательства в Российской Федерации» и Федеральным законом от 22.07.2008 г. № 159-ФЗ «Об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администрацией Дальнереченского муниципального района проводится работа по имущественной поддержке субъектов МСП.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sz w:val="28"/>
          <w:szCs w:val="28"/>
          <w:shd w:fill="auto" w:val="clear"/>
          <w:lang w:eastAsia="en-US"/>
        </w:rPr>
        <w:t>Также в рамках исполнения административного регламента от 24.08.2021 года № 362-па субъектам МСП предоставляется преимущественное право на приобретение арендуемого имущества в собственность.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Финансово-кредитную поддержку субъектам малого и среднего бизнеса оказывают 4-е действующих учреждения  банковской сферы, расположенных на территории городского округа и два на территории Дальнереченского муниципального района.</w:t>
      </w:r>
    </w:p>
    <w:p>
      <w:pPr>
        <w:pStyle w:val="Normal"/>
        <w:tabs>
          <w:tab w:val="clear" w:pos="720"/>
          <w:tab w:val="left" w:pos="1080" w:leader="none"/>
        </w:tabs>
        <w:spacing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рамках реализации программных мероприятий организовываются семинары-совещания, на которых рассматриваются вопросы трудового, налогового и пенсионного законодательства, проводятся  индивидуальные консультации по организации собственного дела, включая ознакомление с действующим законодательством. </w:t>
      </w:r>
    </w:p>
    <w:p>
      <w:pPr>
        <w:pStyle w:val="Normal"/>
        <w:tabs>
          <w:tab w:val="clear" w:pos="720"/>
          <w:tab w:val="left" w:pos="1080" w:leader="none"/>
        </w:tabs>
        <w:spacing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Проблемы становления и развития предпринимательства в районе широко освещаются в средствах массовой информации. Создан раздел «Малое предпринимательство» на Интернет-сайте Дальнереченского муниципального района. Предприниматели получили возможность доступа к интернету, ознакомления и получения новейшей справочной информации, консультирования по вопросам перспективных направлений ведения бизнеса, получения помощи в оформления необходимой документации</w:t>
      </w:r>
      <w:r>
        <w:rPr>
          <w:color w:val="000000"/>
          <w:sz w:val="28"/>
          <w:szCs w:val="28"/>
          <w:shd w:fill="auto" w:val="clear"/>
        </w:rPr>
        <w:t xml:space="preserve">. От сотрудников отдела экономики консультационную поддержку получил </w:t>
      </w:r>
      <w:r>
        <w:rPr>
          <w:color w:val="000000"/>
          <w:sz w:val="28"/>
          <w:szCs w:val="28"/>
          <w:shd w:fill="auto" w:val="clear"/>
        </w:rPr>
        <w:t>49</w:t>
      </w:r>
      <w:r>
        <w:rPr>
          <w:color w:val="000000"/>
          <w:sz w:val="28"/>
          <w:szCs w:val="28"/>
          <w:shd w:fill="auto" w:val="clear"/>
        </w:rPr>
        <w:t xml:space="preserve"> человек.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spacing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sectPr>
      <w:headerReference w:type="even" r:id="rId2"/>
      <w:headerReference w:type="default" r:id="rId3"/>
      <w:type w:val="nextPage"/>
      <w:pgSz w:w="11906" w:h="16838"/>
      <w:pgMar w:left="851" w:right="424" w:gutter="0" w:header="720" w:top="777" w:footer="0" w:bottom="567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63.2pt;margin-top:0.05pt;width:5pt;height:11.4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List Number" w:locked="1" w:uiPriority="0" w:semiHidden="0" w:unhideWhenUsed="0"/>
    <w:lsdException w:name="List 4" w:locked="1" w:uiPriority="0" w:semiHidden="0" w:unhideWhenUsed="0"/>
    <w:lsdException w:name="List 5" w:locked="1" w:uiPriority="0" w:semiHidden="0" w:unhideWhenUsed="0"/>
    <w:lsdException w:name="Title" w:locked="1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alutation" w:locked="1" w:uiPriority="0" w:semiHidden="0" w:unhideWhenUsed="0"/>
    <w:lsdException w:name="Date" w:locked="1" w:uiPriority="0" w:semiHidden="0" w:unhideWhenUsed="0"/>
    <w:lsdException w:name="Body Text First Indent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5a8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locked/>
    <w:rsid w:val="000934b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9d5a8a"/>
    <w:rPr>
      <w:rFonts w:cs="Times New Roman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locked/>
    <w:rsid w:val="000934bc"/>
    <w:rPr>
      <w:rFonts w:cs="Times New Roman"/>
      <w:sz w:val="20"/>
      <w:szCs w:val="20"/>
    </w:rPr>
  </w:style>
  <w:style w:type="character" w:styleId="Style16" w:customStyle="1">
    <w:name w:val="Текст сноски Знак"/>
    <w:basedOn w:val="DefaultParagraphFont"/>
    <w:uiPriority w:val="99"/>
    <w:semiHidden/>
    <w:qFormat/>
    <w:locked/>
    <w:rsid w:val="000934bc"/>
    <w:rPr>
      <w:rFonts w:cs="Times New Roman"/>
      <w:sz w:val="20"/>
      <w:szCs w:val="20"/>
    </w:rPr>
  </w:style>
  <w:style w:type="character" w:styleId="Style17">
    <w:name w:val="Символ сноски"/>
    <w:uiPriority w:val="99"/>
    <w:semiHidden/>
    <w:qFormat/>
    <w:rsid w:val="00d43a91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Style18" w:customStyle="1">
    <w:name w:val="Текст выноски Знак"/>
    <w:basedOn w:val="DefaultParagraphFont"/>
    <w:link w:val="BalloonText"/>
    <w:uiPriority w:val="99"/>
    <w:qFormat/>
    <w:locked/>
    <w:rsid w:val="00c77047"/>
    <w:rPr>
      <w:rFonts w:ascii="Tahoma" w:hAnsi="Tahoma" w:cs="Tahoma"/>
      <w:sz w:val="16"/>
      <w:szCs w:val="16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locked/>
    <w:rsid w:val="00117632"/>
    <w:rPr>
      <w:rFonts w:cs="Times New Roman"/>
      <w:sz w:val="20"/>
      <w:szCs w:val="20"/>
    </w:rPr>
  </w:style>
  <w:style w:type="character" w:styleId="Style19" w:customStyle="1">
    <w:name w:val="Название Знак"/>
    <w:basedOn w:val="DefaultParagraphFont"/>
    <w:uiPriority w:val="99"/>
    <w:qFormat/>
    <w:locked/>
    <w:rsid w:val="0018322d"/>
    <w:rPr>
      <w:rFonts w:cs="Times New Roman"/>
      <w:b/>
      <w:sz w:val="26"/>
      <w:lang w:val="ru-RU" w:eastAsia="ru-RU" w:bidi="ar-SA"/>
    </w:rPr>
  </w:style>
  <w:style w:type="character" w:styleId="TitleChar" w:customStyle="1">
    <w:name w:val="Title Char"/>
    <w:basedOn w:val="DefaultParagraphFont"/>
    <w:uiPriority w:val="99"/>
    <w:qFormat/>
    <w:locked/>
    <w:rsid w:val="00117632"/>
    <w:rPr>
      <w:rFonts w:ascii="Cambria" w:hAnsi="Cambria" w:cs="Times New Roman"/>
      <w:b/>
      <w:bCs/>
      <w:kern w:val="2"/>
      <w:sz w:val="32"/>
      <w:szCs w:val="32"/>
    </w:rPr>
  </w:style>
  <w:style w:type="character" w:styleId="Style20" w:customStyle="1">
    <w:name w:val="Нижний колонтитул Знак"/>
    <w:basedOn w:val="DefaultParagraphFont"/>
    <w:uiPriority w:val="99"/>
    <w:semiHidden/>
    <w:qFormat/>
    <w:locked/>
    <w:rsid w:val="00b207c6"/>
    <w:rPr>
      <w:rFonts w:cs="Times New Roman"/>
      <w:sz w:val="20"/>
      <w:szCs w:val="20"/>
    </w:rPr>
  </w:style>
  <w:style w:type="character" w:styleId="Style21" w:customStyle="1">
    <w:name w:val="Обычный (веб) Знак"/>
    <w:basedOn w:val="DefaultParagraphFont"/>
    <w:link w:val="NormalWeb"/>
    <w:uiPriority w:val="99"/>
    <w:qFormat/>
    <w:locked/>
    <w:rsid w:val="00d309ba"/>
    <w:rPr>
      <w:rFonts w:cs="Times New Roman"/>
      <w:sz w:val="24"/>
      <w:szCs w:val="24"/>
      <w:lang w:val="ru-RU" w:eastAsia="ru-RU" w:bidi="ar-SA"/>
    </w:rPr>
  </w:style>
  <w:style w:type="character" w:styleId="1" w:customStyle="1">
    <w:name w:val="Обычный1 Знак"/>
    <w:basedOn w:val="DefaultParagraphFont"/>
    <w:link w:val="13"/>
    <w:uiPriority w:val="99"/>
    <w:qFormat/>
    <w:locked/>
    <w:rsid w:val="004d1bc1"/>
    <w:rPr>
      <w:sz w:val="26"/>
      <w:lang w:val="ru-RU" w:eastAsia="ru-RU" w:bidi="ar-SA"/>
    </w:rPr>
  </w:style>
  <w:style w:type="character" w:styleId="11" w:customStyle="1">
    <w:name w:val="Название Знак1"/>
    <w:basedOn w:val="DefaultParagraphFont"/>
    <w:uiPriority w:val="99"/>
    <w:qFormat/>
    <w:locked/>
    <w:rsid w:val="00b02cc5"/>
    <w:rPr>
      <w:b/>
      <w:sz w:val="26"/>
    </w:rPr>
  </w:style>
  <w:style w:type="character" w:styleId="3" w:customStyle="1">
    <w:name w:val="Основной текст 3 Знак"/>
    <w:basedOn w:val="DefaultParagraphFont"/>
    <w:link w:val="BodyText3"/>
    <w:uiPriority w:val="99"/>
    <w:semiHidden/>
    <w:qFormat/>
    <w:rsid w:val="00c722c8"/>
    <w:rPr>
      <w:sz w:val="16"/>
      <w:szCs w:val="16"/>
    </w:rPr>
  </w:style>
  <w:style w:type="character" w:styleId="Style22">
    <w:name w:val="Символ нумерации"/>
    <w:qFormat/>
    <w:rPr/>
  </w:style>
  <w:style w:type="paragraph" w:styleId="Style2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Style25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9d5a8a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Indent">
    <w:name w:val="Body Text Indent"/>
    <w:basedOn w:val="Normal"/>
    <w:link w:val="Style15"/>
    <w:uiPriority w:val="99"/>
    <w:rsid w:val="009d5a8a"/>
    <w:pPr>
      <w:spacing w:lineRule="auto" w:line="360"/>
      <w:jc w:val="both"/>
    </w:pPr>
    <w:rPr>
      <w:sz w:val="28"/>
    </w:rPr>
  </w:style>
  <w:style w:type="paragraph" w:styleId="FootnoteText">
    <w:name w:val="Footnote Text"/>
    <w:basedOn w:val="Normal"/>
    <w:link w:val="Style16"/>
    <w:uiPriority w:val="99"/>
    <w:semiHidden/>
    <w:rsid w:val="00d43a91"/>
    <w:pPr/>
    <w:rPr/>
  </w:style>
  <w:style w:type="paragraph" w:styleId="BalloonText">
    <w:name w:val="Balloon Text"/>
    <w:basedOn w:val="Normal"/>
    <w:link w:val="Style18"/>
    <w:uiPriority w:val="99"/>
    <w:qFormat/>
    <w:rsid w:val="00c77047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uiPriority w:val="99"/>
    <w:qFormat/>
    <w:rsid w:val="00e704e0"/>
    <w:pPr>
      <w:spacing w:lineRule="auto" w:line="480" w:before="0" w:after="120"/>
      <w:ind w:hanging="0" w:left="283"/>
      <w:jc w:val="both"/>
    </w:pPr>
    <w:rPr>
      <w:rFonts w:ascii="Times New Roman CYR" w:hAnsi="Times New Roman CYR"/>
      <w:sz w:val="28"/>
    </w:rPr>
  </w:style>
  <w:style w:type="paragraph" w:styleId="Title">
    <w:name w:val="Title"/>
    <w:basedOn w:val="Normal"/>
    <w:link w:val="Style19"/>
    <w:uiPriority w:val="99"/>
    <w:qFormat/>
    <w:rsid w:val="0018322d"/>
    <w:pPr>
      <w:jc w:val="center"/>
    </w:pPr>
    <w:rPr>
      <w:b/>
      <w:sz w:val="26"/>
    </w:rPr>
  </w:style>
  <w:style w:type="paragraph" w:styleId="12" w:customStyle="1">
    <w:name w:val="Название1"/>
    <w:basedOn w:val="Normal"/>
    <w:uiPriority w:val="99"/>
    <w:qFormat/>
    <w:rsid w:val="0018322d"/>
    <w:pPr>
      <w:jc w:val="center"/>
    </w:pPr>
    <w:rPr>
      <w:b/>
      <w:sz w:val="26"/>
    </w:rPr>
  </w:style>
  <w:style w:type="paragraph" w:styleId="NormalWeb">
    <w:name w:val="Normal (Web)"/>
    <w:basedOn w:val="Normal"/>
    <w:link w:val="Style21"/>
    <w:uiPriority w:val="99"/>
    <w:qFormat/>
    <w:rsid w:val="003115af"/>
    <w:pPr>
      <w:spacing w:beforeAutospacing="1" w:afterAutospacing="1"/>
    </w:pPr>
    <w:rPr>
      <w:sz w:val="24"/>
      <w:szCs w:val="24"/>
    </w:rPr>
  </w:style>
  <w:style w:type="paragraph" w:styleId="Western" w:customStyle="1">
    <w:name w:val="western"/>
    <w:basedOn w:val="Normal"/>
    <w:uiPriority w:val="99"/>
    <w:qFormat/>
    <w:rsid w:val="003c4e13"/>
    <w:pPr>
      <w:spacing w:beforeAutospacing="1" w:afterAutospacing="1"/>
    </w:pPr>
    <w:rPr>
      <w:sz w:val="24"/>
      <w:szCs w:val="24"/>
    </w:rPr>
  </w:style>
  <w:style w:type="paragraph" w:styleId="Footer">
    <w:name w:val="Footer"/>
    <w:basedOn w:val="Normal"/>
    <w:link w:val="Style20"/>
    <w:uiPriority w:val="99"/>
    <w:rsid w:val="004b0de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3" w:customStyle="1">
    <w:name w:val="Обычный1"/>
    <w:link w:val="1"/>
    <w:uiPriority w:val="99"/>
    <w:qFormat/>
    <w:rsid w:val="004d1bc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ConsNonformat" w:customStyle="1">
    <w:name w:val="ConsNonformat"/>
    <w:qFormat/>
    <w:rsid w:val="009c585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alibri" w:cs="Courier New"/>
      <w:color w:val="auto"/>
      <w:kern w:val="0"/>
      <w:sz w:val="20"/>
      <w:szCs w:val="20"/>
      <w:lang w:val="ru-RU" w:eastAsia="ru-RU" w:bidi="ar-SA"/>
    </w:rPr>
  </w:style>
  <w:style w:type="paragraph" w:styleId="BodyText3">
    <w:name w:val="Body Text 3"/>
    <w:basedOn w:val="Normal"/>
    <w:link w:val="3"/>
    <w:uiPriority w:val="99"/>
    <w:semiHidden/>
    <w:unhideWhenUsed/>
    <w:qFormat/>
    <w:rsid w:val="00c722c8"/>
    <w:pPr>
      <w:spacing w:before="0" w:after="120"/>
    </w:pPr>
    <w:rPr>
      <w:sz w:val="16"/>
      <w:szCs w:val="16"/>
    </w:rPr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99"/>
    <w:rsid w:val="001832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B982-DD2E-4CB3-8B0D-FFC81511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Application>LibreOffice/7.6.4.1$Windows_X86_64 LibreOffice_project/e19e193f88cd6c0525a17fb7a176ed8e6a3e2aa1</Application>
  <AppVersion>15.0000</AppVersion>
  <Pages>6</Pages>
  <Words>1959</Words>
  <Characters>13180</Characters>
  <CharactersWithSpaces>14887</CharactersWithSpaces>
  <Paragraphs>367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2023-09-21T07:20:00Z</dcterms:created>
  <dc:creator>ContrUpr</dc:creator>
  <dc:description/>
  <dc:language>ru-RU</dc:language>
  <cp:lastModifiedBy/>
  <cp:lastPrinted>2025-05-14T10:31:31Z</cp:lastPrinted>
  <dcterms:modified xsi:type="dcterms:W3CDTF">2025-08-11T12:51:12Z</dcterms:modified>
  <cp:revision>173</cp:revision>
  <dc:subject/>
  <dc:title>Приложение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