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1310" w:type="dxa"/>
        <w:jc w:val="left"/>
        <w:tblInd w:w="-396" w:type="dxa"/>
        <w:tblLayout w:type="fixed"/>
        <w:tblCellMar>
          <w:top w:w="0" w:type="dxa"/>
          <w:left w:w="30" w:type="dxa"/>
          <w:bottom w:w="0" w:type="dxa"/>
          <w:right w:w="30" w:type="dxa"/>
        </w:tblCellMar>
        <w:tblLook w:firstRow="0" w:noVBand="0" w:lastRow="0" w:firstColumn="0" w:lastColumn="0" w:noHBand="0" w:val="0000"/>
      </w:tblPr>
      <w:tblGrid>
        <w:gridCol w:w="280"/>
        <w:gridCol w:w="4397"/>
        <w:gridCol w:w="567"/>
        <w:gridCol w:w="996"/>
        <w:gridCol w:w="1157"/>
        <w:gridCol w:w="950"/>
        <w:gridCol w:w="930"/>
        <w:gridCol w:w="1032"/>
        <w:gridCol w:w="999"/>
      </w:tblGrid>
      <w:tr>
        <w:trPr>
          <w:trHeight w:val="136" w:hRule="atLeast"/>
        </w:trPr>
        <w:tc>
          <w:tcPr>
            <w:tcW w:w="11308" w:type="dxa"/>
            <w:gridSpan w:val="9"/>
            <w:tcBorders/>
          </w:tcPr>
          <w:p>
            <w:pPr>
              <w:pStyle w:val="Normal"/>
              <w:widowControl w:val="false"/>
              <w:jc w:val="center"/>
              <w:rPr>
                <w:b/>
                <w:color w:val="000000"/>
                <w:sz w:val="24"/>
                <w:szCs w:val="24"/>
              </w:rPr>
            </w:pPr>
            <w:r>
              <w:rPr>
                <w:b/>
                <w:color w:val="000000"/>
                <w:sz w:val="24"/>
                <w:szCs w:val="24"/>
              </w:rPr>
              <w:t>Показатели развития малого и среднего предпринимательства</w:t>
            </w:r>
          </w:p>
          <w:p>
            <w:pPr>
              <w:pStyle w:val="Normal"/>
              <w:widowControl w:val="false"/>
              <w:jc w:val="center"/>
              <w:rPr>
                <w:b/>
                <w:color w:val="000000"/>
                <w:sz w:val="24"/>
                <w:szCs w:val="24"/>
              </w:rPr>
            </w:pPr>
            <w:r>
              <w:rPr>
                <w:b/>
                <w:color w:val="000000"/>
                <w:sz w:val="24"/>
                <w:szCs w:val="24"/>
              </w:rPr>
              <w:t xml:space="preserve"> </w:t>
            </w:r>
            <w:r>
              <w:rPr>
                <w:b/>
                <w:color w:val="000000"/>
                <w:sz w:val="24"/>
                <w:szCs w:val="24"/>
              </w:rPr>
              <w:t>за 1 квартал 2025 года в муниципальном образовании</w:t>
            </w:r>
          </w:p>
          <w:p>
            <w:pPr>
              <w:pStyle w:val="Normal"/>
              <w:widowControl w:val="false"/>
              <w:jc w:val="center"/>
              <w:rPr>
                <w:b/>
                <w:color w:val="000000"/>
                <w:sz w:val="24"/>
                <w:szCs w:val="24"/>
              </w:rPr>
            </w:pPr>
            <w:r>
              <w:rPr>
                <w:b/>
                <w:color w:val="000000"/>
                <w:sz w:val="24"/>
                <w:szCs w:val="24"/>
              </w:rPr>
              <w:t>Дальнереченского муниципального района</w:t>
            </w:r>
          </w:p>
          <w:p>
            <w:pPr>
              <w:pStyle w:val="Normal"/>
              <w:widowControl w:val="false"/>
              <w:jc w:val="center"/>
              <w:rPr>
                <w:b/>
                <w:color w:val="000000"/>
                <w:sz w:val="24"/>
              </w:rPr>
            </w:pPr>
            <w:r>
              <w:rPr>
                <w:b/>
                <w:color w:val="000000"/>
                <w:sz w:val="24"/>
              </w:rPr>
            </w:r>
          </w:p>
        </w:tc>
      </w:tr>
      <w:tr>
        <w:trPr>
          <w:trHeight w:val="849"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4"/>
              </w:rPr>
            </w:pPr>
            <w:r>
              <w:rPr>
                <w:color w:val="000000"/>
                <w:sz w:val="24"/>
              </w:rPr>
              <w:t xml:space="preserve">№ </w:t>
            </w:r>
            <w:r>
              <w:rPr>
                <w:color w:val="000000"/>
                <w:sz w:val="24"/>
              </w:rPr>
              <w:t>п/п</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Наименование показателя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Ед. изм.</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lang w:val="en-US"/>
              </w:rPr>
              <w:t>20</w:t>
            </w:r>
            <w:r>
              <w:rPr>
                <w:color w:val="000000"/>
              </w:rPr>
              <w:t>2</w:t>
            </w:r>
            <w:r>
              <w:rPr>
                <w:color w:val="000000"/>
                <w:lang w:val="en-US"/>
              </w:rPr>
              <w:t>4</w:t>
            </w:r>
            <w:r>
              <w:rPr>
                <w:color w:val="000000"/>
              </w:rPr>
              <w:t xml:space="preserve"> год</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1 кв. 2025 года</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2 кв. 2025 года</w:t>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3 кв. 2025 года</w:t>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4 кв. 2025 года</w:t>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rPr>
            </w:pPr>
            <w:r>
              <w:rPr>
                <w:color w:val="000000"/>
              </w:rPr>
              <w:t>Итого 2025</w:t>
            </w:r>
          </w:p>
          <w:p>
            <w:pPr>
              <w:pStyle w:val="Normal"/>
              <w:widowControl w:val="false"/>
              <w:jc w:val="center"/>
              <w:rPr>
                <w:color w:val="000000"/>
              </w:rPr>
            </w:pPr>
            <w:r>
              <w:rPr>
                <w:color w:val="000000"/>
              </w:rPr>
              <w:t>год</w:t>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2</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3</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6</w:t>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7</w:t>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8</w:t>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16"/>
                <w:szCs w:val="16"/>
              </w:rPr>
            </w:pPr>
            <w:r>
              <w:rPr>
                <w:color w:val="000000"/>
                <w:sz w:val="16"/>
                <w:szCs w:val="16"/>
              </w:rPr>
              <w:t>9</w:t>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организаций всех форм собственности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68</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малых предприятий на 10 тысяч человек населения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255,4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257,9</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средних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На территории Дальнереченского МР средних предприятий не зарегистрировано</w:t>
            </w:r>
          </w:p>
        </w:tc>
      </w:tr>
      <w:tr>
        <w:trPr>
          <w:trHeight w:val="92"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малых предприятий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36</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363" w:leader="none"/>
                <w:tab w:val="center" w:pos="466" w:leader="none"/>
              </w:tabs>
              <w:jc w:val="center"/>
              <w:rPr/>
            </w:pPr>
            <w:r>
              <w:rPr>
                <w:color w:val="000000"/>
                <w:sz w:val="22"/>
                <w:szCs w:val="22"/>
                <w:shd w:fill="auto" w:val="clear"/>
              </w:rPr>
              <w:t>12</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0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9</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9</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20"/>
                <w:tab w:val="left" w:pos="326" w:leader="none"/>
              </w:tabs>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3</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информации и связи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финансовая и страховая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по операциям с недвижимым имуществом</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профессиональная, научная и техническая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административная и сопутствующие дополнительные услуги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здравоохранения и социальных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1</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хозяйствующих субъектов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229</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228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6</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предприятий МП в числе хозяйствующих субъектов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15,9</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15,8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2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7</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Число индивидуальных предпринимателей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161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t>160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8</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color w:val="000000"/>
                <w:sz w:val="22"/>
                <w:szCs w:val="22"/>
              </w:rPr>
            </w:pPr>
            <w:r>
              <w:rPr>
                <w:color w:val="000000"/>
                <w:sz w:val="22"/>
                <w:szCs w:val="22"/>
              </w:rPr>
              <w:t>Оборот полного круга организаций и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lang w:val="en-US"/>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 w:val="22"/>
                <w:szCs w:val="22"/>
                <w:shd w:fill="auto" w:val="clear"/>
              </w:rPr>
              <w:t>нет данных</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9</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Оборот средних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 w:val="22"/>
                <w:szCs w:val="22"/>
                <w:shd w:fill="auto" w:val="clear"/>
              </w:rPr>
              <w:t>На территории Дальнереченского МР средних предприятий не зарегистрировано</w:t>
            </w:r>
          </w:p>
        </w:tc>
      </w:tr>
      <w:tr>
        <w:trPr>
          <w:trHeight w:val="11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10</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Выручка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 w:val="22"/>
                <w:szCs w:val="22"/>
                <w:shd w:fill="auto" w:val="clear"/>
              </w:rPr>
              <w:t>нет</w:t>
            </w:r>
          </w:p>
          <w:p>
            <w:pPr>
              <w:pStyle w:val="Normal"/>
              <w:widowControl w:val="false"/>
              <w:jc w:val="center"/>
              <w:rPr/>
            </w:pPr>
            <w:r>
              <w:rPr>
                <w:sz w:val="22"/>
                <w:szCs w:val="22"/>
                <w:shd w:fill="auto" w:val="clear"/>
              </w:rPr>
              <w:t>данных</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w:t>
            </w:r>
          </w:p>
          <w:p>
            <w:pPr>
              <w:pStyle w:val="Normal"/>
              <w:widowControl w:val="false"/>
              <w:jc w:val="center"/>
              <w:rPr>
                <w:highlight w:val="none"/>
                <w:shd w:fill="auto" w:val="clear"/>
              </w:rPr>
            </w:pPr>
            <w:r>
              <w:rPr>
                <w:sz w:val="22"/>
                <w:szCs w:val="22"/>
                <w:shd w:fill="auto" w:val="clear"/>
              </w:rPr>
              <w:t>данных</w:t>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z w:val="22"/>
                <w:szCs w:val="22"/>
                <w:shd w:fill="auto" w:val="clear"/>
              </w:rPr>
              <w:t>нет данных</w:t>
            </w:r>
          </w:p>
        </w:tc>
      </w:tr>
      <w:tr>
        <w:trPr>
          <w:trHeight w:val="552"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11</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Оборот малых  предприятий (МП) - оценка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813,6*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92,4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04"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деятельности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619,8*</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33,7</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Обеспечение электрической энергией, газом и паром; кондиционирование воздуха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t>185,2*</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rPr>
              <w:t>57,3</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171" w:after="171"/>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pPr>
            <w:r>
              <w:rPr>
                <w:color w:val="000000"/>
                <w:sz w:val="22"/>
                <w:szCs w:val="22"/>
              </w:rPr>
              <w:t>Оборот розничной торговли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pPr>
            <w:r>
              <w:rPr>
                <w:color w:val="000000"/>
                <w:sz w:val="22"/>
                <w:szCs w:val="22"/>
              </w:rPr>
              <w:t>Оборот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8,6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2,8</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в области информации и связи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финансовая и страховая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по операциям с недвижимым имуществом</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оборота малых предприятий (МП) в объеме оборота полного круга предприятий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49,4*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50,1*</w:t>
            </w:r>
          </w:p>
          <w:p>
            <w:pPr>
              <w:pStyle w:val="Normal"/>
              <w:widowControl w:val="false"/>
              <w:jc w:val="center"/>
              <w:rPr>
                <w:sz w:val="22"/>
                <w:szCs w:val="22"/>
              </w:rPr>
            </w:pPr>
            <w:r>
              <w:rPr>
                <w:sz w:val="22"/>
                <w:szCs w:val="22"/>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Среднесписочная численность работников (по полному кругу организаций)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w:t>
            </w:r>
          </w:p>
          <w:p>
            <w:pPr>
              <w:pStyle w:val="Normal"/>
              <w:widowControl w:val="false"/>
              <w:jc w:val="center"/>
              <w:rPr>
                <w:color w:val="000000"/>
                <w:sz w:val="22"/>
                <w:szCs w:val="22"/>
              </w:rPr>
            </w:pPr>
            <w:r>
              <w:rPr>
                <w:color w:val="000000"/>
                <w:sz w:val="22"/>
                <w:szCs w:val="22"/>
              </w:rPr>
              <w:t>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1,063*</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1,065*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средних предприятий списочного состава (без внешних совместителей)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6064"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jc w:val="center"/>
              <w:rPr/>
            </w:pPr>
            <w:r>
              <w:rPr>
                <w:sz w:val="22"/>
                <w:szCs w:val="22"/>
                <w:shd w:fill="auto" w:val="clear"/>
              </w:rPr>
              <w:t>На территории Дальнереченского МР средних предприятий не зарегистрировано</w:t>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lang w:val="en-US"/>
              </w:rPr>
              <w:t>1</w:t>
            </w:r>
            <w:r>
              <w:rPr>
                <w:color w:val="000000"/>
                <w:sz w:val="22"/>
                <w:szCs w:val="22"/>
              </w:rPr>
              <w:t>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ИП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0,152*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0,153*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16</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Средняя численность работников малых предприятий (МП) списочного состава (без внешних совместителей)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чел.</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0,430*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0,433*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по видам экономической деятельности: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highlight w:val="none"/>
                <w:shd w:fill="auto" w:val="clear"/>
              </w:rPr>
            </w:pPr>
            <w:r>
              <w:rPr>
                <w:color w:val="000000"/>
                <w:sz w:val="22"/>
                <w:szCs w:val="22"/>
                <w:shd w:fill="auto" w:val="clear"/>
              </w:rPr>
            </w:r>
          </w:p>
        </w:tc>
      </w:tr>
      <w:tr>
        <w:trPr>
          <w:trHeight w:val="140"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Сельское хозяйство, охота и лесное хозяйство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0,163*</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0,163*</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Рыболовство, рыбоводство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68"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Добыча полезных ископаемых</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Обрабатывающие производства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0,025*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0,025*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Обеспечение электрической энергией, газом и паром; кондиционирование воздуха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Водоснабжение; водоотведение, организация сбора и утилизации отходов, деятельность по ликвидации загрязнений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2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Строительство</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0,035*</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0,040*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3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Торговля оптовая и розничная; ремонт автотранспортных средств и мотоциклов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0,167*</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0,165*</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Транспортировка и хранение</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10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Деятельность гостиниц и предприятий общественного питания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Деятельность в области культуры, спорта, организации досуга и развлечений</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Предоставление прочих видов услуг</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0,04*</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0,04*</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18</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Среднемесячная зарплата и выплаты социального характера на 1 работника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 руб.</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30,0*</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37,0*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lang w:val="en-US"/>
              </w:rPr>
            </w:pPr>
            <w:r>
              <w:rPr>
                <w:color w:val="000000"/>
                <w:sz w:val="22"/>
                <w:szCs w:val="22"/>
                <w:shd w:fill="auto" w:val="clear"/>
                <w:lang w:val="en-US"/>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2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19</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left"/>
              <w:rPr>
                <w:color w:val="000000"/>
                <w:sz w:val="22"/>
                <w:szCs w:val="22"/>
              </w:rPr>
            </w:pPr>
            <w:r>
              <w:rPr>
                <w:color w:val="000000"/>
                <w:sz w:val="22"/>
                <w:szCs w:val="22"/>
              </w:rPr>
              <w:t>Объем финансовых средств, предусмотренных на поддержку субъектов малого и среднего предпринимательства (МСП) в бюджете на год</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млн. 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highlight w:val="none"/>
                <w:shd w:fill="auto" w:val="clear"/>
              </w:rPr>
            </w:pPr>
            <w:r>
              <w:rPr>
                <w:sz w:val="22"/>
                <w:szCs w:val="22"/>
                <w:shd w:fill="auto" w:val="clear"/>
              </w:rPr>
              <w:t>0,1</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rPr>
              <w:t>0,405</w:t>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highlight w:val="none"/>
                <w:shd w:fill="auto" w:val="clear"/>
              </w:rPr>
            </w:pPr>
            <w:r>
              <w:rPr>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highlight w:val="none"/>
                <w:shd w:fill="auto" w:val="clear"/>
              </w:rPr>
            </w:pPr>
            <w:r>
              <w:rPr>
                <w:sz w:val="22"/>
                <w:szCs w:val="22"/>
                <w:shd w:fill="auto" w:val="clear"/>
              </w:rPr>
            </w:r>
          </w:p>
        </w:tc>
      </w:tr>
      <w:tr>
        <w:trPr>
          <w:trHeight w:val="204" w:hRule="atLeast"/>
          <w:cantSplit w:val="true"/>
        </w:trPr>
        <w:tc>
          <w:tcPr>
            <w:tcW w:w="28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20</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Количество субъектов МСП, получивших поддержку</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r>
      <w:tr>
        <w:trPr>
          <w:trHeight w:val="68" w:hRule="atLeast"/>
          <w:cantSplit w:val="true"/>
        </w:trPr>
        <w:tc>
          <w:tcPr>
            <w:tcW w:w="28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в том числе из :</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r>
      <w:tr>
        <w:trPr>
          <w:trHeight w:val="6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федерального бюджета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t>-</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бюджета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right"/>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t>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highlight w:val="none"/>
                <w:shd w:fill="auto" w:val="clear"/>
              </w:rPr>
            </w:pPr>
            <w:r>
              <w:rPr>
                <w:color w:val="000000"/>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auto"/>
                <w:sz w:val="22"/>
                <w:szCs w:val="22"/>
                <w:highlight w:val="none"/>
                <w:shd w:fill="auto" w:val="clear"/>
              </w:rPr>
            </w:pPr>
            <w:r>
              <w:rPr>
                <w:color w:val="000000"/>
                <w:sz w:val="22"/>
                <w:szCs w:val="22"/>
                <w:shd w:fill="auto" w:val="clear"/>
              </w:rPr>
            </w:r>
          </w:p>
        </w:tc>
      </w:tr>
      <w:tr>
        <w:trPr>
          <w:trHeight w:val="92"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 xml:space="preserve">             </w:t>
            </w:r>
            <w:r>
              <w:rPr>
                <w:color w:val="000000"/>
                <w:sz w:val="22"/>
                <w:szCs w:val="22"/>
              </w:rPr>
              <w:t>средств местных бюджетов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1</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t>из внебюджетного фонда Особой экономической зоны</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Регионального фонда поддержки МП</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Муниципальных фондов</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553"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других источников (в примечании - указать источники)</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sz w:val="22"/>
                <w:szCs w:val="22"/>
              </w:rPr>
            </w:pPr>
            <w:r>
              <w:rPr>
                <w:color w:val="000000"/>
                <w:sz w:val="22"/>
                <w:szCs w:val="22"/>
              </w:rPr>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21</w:t>
            </w:r>
          </w:p>
        </w:tc>
        <w:tc>
          <w:tcPr>
            <w:tcW w:w="4397" w:type="dxa"/>
            <w:tcBorders>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Объем финансовых средств, полученных субъектами МСП из:</w:t>
            </w:r>
          </w:p>
        </w:tc>
        <w:tc>
          <w:tcPr>
            <w:tcW w:w="56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тыс. руб.</w:t>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369,74</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0</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99"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федерального бюджета</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 xml:space="preserve"> </w:t>
            </w:r>
            <w:r>
              <w:rPr>
                <w:color w:val="000000"/>
                <w:sz w:val="22"/>
                <w:szCs w:val="22"/>
              </w:rPr>
              <w:t>бюджета Приморского края</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t>319,74</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99"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средств местных бюджетов</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50,00</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99"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0" w:hRule="atLeast"/>
        </w:trPr>
        <w:tc>
          <w:tcPr>
            <w:tcW w:w="280"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4397" w:type="dxa"/>
            <w:tcBorders>
              <w:left w:val="single" w:sz="6" w:space="0" w:color="000000"/>
              <w:bottom w:val="single" w:sz="6" w:space="0" w:color="000000"/>
              <w:right w:val="single" w:sz="6" w:space="0" w:color="000000"/>
            </w:tcBorders>
          </w:tcPr>
          <w:p>
            <w:pPr>
              <w:pStyle w:val="Normal"/>
              <w:widowControl w:val="false"/>
              <w:rPr>
                <w:sz w:val="22"/>
                <w:szCs w:val="22"/>
              </w:rPr>
            </w:pPr>
            <w:r>
              <w:rPr>
                <w:color w:val="000000"/>
                <w:sz w:val="22"/>
                <w:szCs w:val="22"/>
              </w:rPr>
              <w:t>других источников (в примечании - указать источники)</w:t>
            </w:r>
          </w:p>
        </w:tc>
        <w:tc>
          <w:tcPr>
            <w:tcW w:w="567"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r>
          </w:p>
        </w:tc>
        <w:tc>
          <w:tcPr>
            <w:tcW w:w="996"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t>-</w:t>
            </w:r>
          </w:p>
        </w:tc>
        <w:tc>
          <w:tcPr>
            <w:tcW w:w="1157"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t>-</w:t>
            </w:r>
          </w:p>
        </w:tc>
        <w:tc>
          <w:tcPr>
            <w:tcW w:w="95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99" w:type="dxa"/>
            <w:tcBorders>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22</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Всего проведено торгов и других способов размещения заказа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ед.</w:t>
            </w:r>
          </w:p>
        </w:tc>
        <w:tc>
          <w:tcPr>
            <w:tcW w:w="996"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t>2332</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3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highlight w:val="none"/>
                <w:shd w:fill="auto" w:val="clear"/>
              </w:rPr>
            </w:pPr>
            <w:r>
              <w:rPr>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23</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sz w:val="22"/>
                <w:szCs w:val="22"/>
              </w:rPr>
            </w:pPr>
            <w:r>
              <w:rPr>
                <w:color w:val="000000"/>
                <w:sz w:val="22"/>
                <w:szCs w:val="22"/>
              </w:rPr>
              <w:t>Объем размещения заказов на поставки товаров, выполнение работ, оказание услуг для государственных нужд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color w:val="000000"/>
                <w:sz w:val="22"/>
                <w:szCs w:val="22"/>
              </w:rPr>
              <w:t>тыс.</w:t>
            </w:r>
          </w:p>
          <w:p>
            <w:pPr>
              <w:pStyle w:val="Normal"/>
              <w:widowControl w:val="false"/>
              <w:jc w:val="center"/>
              <w:rPr>
                <w:sz w:val="22"/>
                <w:szCs w:val="22"/>
              </w:rPr>
            </w:pPr>
            <w:r>
              <w:rPr>
                <w:color w:val="000000"/>
                <w:sz w:val="22"/>
                <w:szCs w:val="22"/>
              </w:rPr>
              <w:t>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r>
          </w:p>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t>291327,6</w:t>
            </w:r>
          </w:p>
        </w:tc>
        <w:tc>
          <w:tcPr>
            <w:tcW w:w="115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sz w:val="22"/>
                <w:szCs w:val="22"/>
              </w:rPr>
            </w:pPr>
            <w:r>
              <w:rPr>
                <w:sz w:val="22"/>
                <w:szCs w:val="22"/>
              </w:rPr>
            </w:r>
          </w:p>
        </w:tc>
        <w:tc>
          <w:tcPr>
            <w:tcW w:w="95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rPr>
            </w:r>
          </w:p>
        </w:tc>
        <w:tc>
          <w:tcPr>
            <w:tcW w:w="1032" w:type="dxa"/>
            <w:tcBorders>
              <w:top w:val="single" w:sz="6" w:space="0" w:color="000000"/>
              <w:left w:val="single" w:sz="6" w:space="0" w:color="000000"/>
              <w:bottom w:val="single" w:sz="6" w:space="0" w:color="000000"/>
              <w:right w:val="single" w:sz="6" w:space="0" w:color="000000"/>
            </w:tcBorders>
          </w:tcPr>
          <w:p>
            <w:pPr>
              <w:pStyle w:val="Normal"/>
              <w:widowControl w:val="false"/>
              <w:bidi w:val="0"/>
              <w:spacing w:lineRule="atLeast" w:line="240" w:before="0" w:after="0"/>
              <w:ind w:hanging="0" w:left="0" w:right="0"/>
              <w:jc w:val="center"/>
              <w:rPr>
                <w:rFonts w:ascii="Times New Roman" w:hAnsi="Times New Roman"/>
                <w:color w:val="000000"/>
                <w:sz w:val="22"/>
                <w:szCs w:val="22"/>
                <w:highlight w:val="none"/>
                <w:shd w:fill="auto" w:val="clear"/>
              </w:rPr>
            </w:pPr>
            <w:r>
              <w:rPr>
                <w:color w:val="000000"/>
                <w:sz w:val="22"/>
                <w:szCs w:val="22"/>
                <w:shd w:fill="auto" w:val="clear"/>
              </w:rPr>
            </w:r>
          </w:p>
        </w:tc>
        <w:tc>
          <w:tcPr>
            <w:tcW w:w="999"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themeColor="text1" w:val="000000"/>
                <w:sz w:val="22"/>
                <w:szCs w:val="22"/>
                <w:highlight w:val="none"/>
                <w:shd w:fill="auto" w:val="clear"/>
              </w:rPr>
            </w:pPr>
            <w:r>
              <w:rPr>
                <w:color w:themeColor="text1" w:val="000000"/>
                <w:sz w:val="22"/>
                <w:szCs w:val="22"/>
                <w:shd w:fill="auto" w:val="clear"/>
              </w:rPr>
            </w:r>
          </w:p>
        </w:tc>
      </w:tr>
      <w:tr>
        <w:trPr>
          <w:trHeight w:val="144"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24</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Объем размещения заказов на поставки товаров, выполнение работ, оказание услуг для государственных нужд Приморского края у субъектов малого предпринимательства</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тыс.</w:t>
            </w:r>
          </w:p>
          <w:p>
            <w:pPr>
              <w:pStyle w:val="Normal"/>
              <w:widowControl w:val="false"/>
              <w:jc w:val="center"/>
              <w:rPr>
                <w:color w:val="000000"/>
                <w:sz w:val="22"/>
                <w:szCs w:val="22"/>
              </w:rPr>
            </w:pPr>
            <w:r>
              <w:rPr>
                <w:color w:val="000000"/>
                <w:sz w:val="22"/>
                <w:szCs w:val="22"/>
              </w:rPr>
              <w:t>руб.</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left"/>
              <w:rPr>
                <w:highlight w:val="none"/>
                <w:shd w:fill="auto" w:val="clear"/>
              </w:rPr>
            </w:pPr>
            <w:r>
              <w:rPr>
                <w:color w:themeColor="text1" w:val="000000"/>
                <w:sz w:val="22"/>
                <w:szCs w:val="22"/>
                <w:shd w:fill="auto" w:val="clear"/>
              </w:rPr>
              <w:t>79329,8</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rPr>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hanging="0"/>
              <w:contextualSpacing/>
              <w:jc w:val="left"/>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left"/>
              <w:rPr>
                <w:highlight w:val="none"/>
                <w:shd w:fill="auto" w:val="clear"/>
              </w:rPr>
            </w:pPr>
            <w:r>
              <w:rPr>
                <w:shd w:fill="auto" w:val="clear"/>
              </w:rPr>
            </w:r>
          </w:p>
        </w:tc>
      </w:tr>
      <w:tr>
        <w:trPr>
          <w:trHeight w:val="56" w:hRule="atLeast"/>
        </w:trPr>
        <w:tc>
          <w:tcPr>
            <w:tcW w:w="280"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25</w:t>
            </w:r>
          </w:p>
        </w:tc>
        <w:tc>
          <w:tcPr>
            <w:tcW w:w="4397"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sz w:val="22"/>
                <w:szCs w:val="22"/>
              </w:rPr>
            </w:pPr>
            <w:r>
              <w:rPr>
                <w:color w:val="000000"/>
                <w:sz w:val="22"/>
                <w:szCs w:val="22"/>
              </w:rPr>
              <w:t>Доля заказов, размещенных у субъектов среднего предпринимательства, в общем объеме поставок товаров (работ, услуг) для государственных нужд Приморского края</w:t>
            </w:r>
          </w:p>
        </w:tc>
        <w:tc>
          <w:tcPr>
            <w:tcW w:w="567"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color w:val="000000"/>
                <w:sz w:val="22"/>
                <w:szCs w:val="22"/>
              </w:rPr>
            </w:pPr>
            <w:r>
              <w:rPr>
                <w:color w:val="000000"/>
                <w:sz w:val="22"/>
                <w:szCs w:val="22"/>
              </w:rPr>
              <w:t>%</w:t>
            </w:r>
          </w:p>
        </w:tc>
        <w:tc>
          <w:tcPr>
            <w:tcW w:w="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z w:val="22"/>
                <w:szCs w:val="22"/>
                <w:shd w:fill="auto" w:val="clear"/>
              </w:rPr>
              <w:t>27,3</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sz w:val="22"/>
                <w:szCs w:val="22"/>
              </w:rPr>
            </w:pPr>
            <w:r>
              <w:rPr>
                <w:sz w:val="22"/>
                <w:szCs w:val="22"/>
              </w:rPr>
            </w:r>
          </w:p>
        </w:tc>
        <w:tc>
          <w:tcPr>
            <w:tcW w:w="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color w:val="000000"/>
                <w:sz w:val="22"/>
                <w:szCs w:val="22"/>
                <w:highlight w:val="none"/>
                <w:shd w:fill="auto" w:val="clear"/>
              </w:rPr>
            </w:pPr>
            <w:r>
              <w:rPr>
                <w:color w:val="000000"/>
                <w:sz w:val="22"/>
                <w:szCs w:val="22"/>
                <w:shd w:fill="auto" w:val="clear"/>
              </w:rPr>
            </w:r>
          </w:p>
        </w:tc>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hd w:fill="auto" w:val="clear"/>
              </w:rPr>
            </w:r>
          </w:p>
        </w:tc>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hd w:fill="auto" w:val="clear"/>
              </w:rPr>
            </w:r>
          </w:p>
        </w:tc>
        <w:tc>
          <w:tcPr>
            <w:tcW w:w="9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jc w:val="center"/>
              <w:rPr>
                <w:highlight w:val="none"/>
                <w:shd w:fill="auto" w:val="clear"/>
              </w:rPr>
            </w:pPr>
            <w:r>
              <w:rPr>
                <w:shd w:fill="auto" w:val="clear"/>
              </w:rPr>
            </w:r>
          </w:p>
        </w:tc>
      </w:tr>
    </w:tbl>
    <w:p>
      <w:pPr>
        <w:pStyle w:val="Normal"/>
        <w:rPr>
          <w:highlight w:val="none"/>
          <w:shd w:fill="auto" w:val="clear"/>
        </w:rPr>
      </w:pPr>
      <w:r>
        <w:rPr>
          <w:sz w:val="16"/>
          <w:szCs w:val="16"/>
          <w:shd w:fill="auto" w:val="clear"/>
        </w:rPr>
        <w:t>Цифра*- проставлены оценочные данные исходя из прошлых периодов, так как органы государственной статистики не ведут счет данных показателей.</w:t>
      </w:r>
    </w:p>
    <w:p>
      <w:pPr>
        <w:pStyle w:val="Normal"/>
        <w:rPr>
          <w:highlight w:val="none"/>
          <w:shd w:fill="auto" w:val="clear"/>
        </w:rPr>
      </w:pPr>
      <w:r>
        <w:rPr>
          <w:sz w:val="16"/>
          <w:szCs w:val="16"/>
          <w:shd w:fill="auto" w:val="clear"/>
        </w:rPr>
        <w:t xml:space="preserve">            </w:t>
      </w:r>
      <w:r>
        <w:rPr>
          <w:sz w:val="16"/>
          <w:szCs w:val="16"/>
          <w:shd w:fill="auto" w:val="clear"/>
        </w:rPr>
        <w:t>* - строки со звездочками – органы государственной статистики не ведут счет данных показателей в разрезе муниципального образования</w:t>
      </w:r>
    </w:p>
    <w:p>
      <w:pPr>
        <w:pStyle w:val="Normal"/>
        <w:rPr>
          <w:sz w:val="16"/>
          <w:szCs w:val="16"/>
          <w:highlight w:val="none"/>
          <w:shd w:fill="auto" w:val="clear"/>
        </w:rPr>
      </w:pPr>
      <w:r>
        <w:rPr>
          <w:sz w:val="16"/>
          <w:szCs w:val="16"/>
          <w:shd w:fill="auto" w:val="clear"/>
        </w:rPr>
      </w:r>
    </w:p>
    <w:p>
      <w:pPr>
        <w:pStyle w:val="Normal"/>
        <w:spacing w:lineRule="auto" w:line="288" w:before="0" w:after="0"/>
        <w:ind w:firstLine="720"/>
        <w:contextualSpacing/>
        <w:jc w:val="center"/>
        <w:rPr>
          <w:highlight w:val="none"/>
          <w:shd w:fill="auto" w:val="clear"/>
        </w:rPr>
      </w:pPr>
      <w:bookmarkStart w:id="0" w:name="_GoBack"/>
      <w:bookmarkEnd w:id="0"/>
      <w:r>
        <w:rPr>
          <w:b/>
          <w:sz w:val="28"/>
          <w:szCs w:val="28"/>
          <w:shd w:fill="auto" w:val="clear"/>
        </w:rPr>
        <w:t>Пояснительная записка к отчету о показателях развития малого и среднего  предпринимательства Дальнереченского муниципального района за 1 квартал 2025 года.</w:t>
      </w:r>
    </w:p>
    <w:p>
      <w:pPr>
        <w:pStyle w:val="Normal"/>
        <w:spacing w:before="0" w:after="0"/>
        <w:ind w:firstLine="709"/>
        <w:contextualSpacing/>
        <w:jc w:val="both"/>
        <w:rPr>
          <w:highlight w:val="none"/>
          <w:shd w:fill="auto" w:val="clear"/>
        </w:rPr>
      </w:pPr>
      <w:r>
        <w:rPr>
          <w:sz w:val="28"/>
          <w:szCs w:val="28"/>
          <w:shd w:fill="auto" w:val="clear"/>
        </w:rPr>
        <w:t xml:space="preserve">По состоянию на 01.04.2025 года на территории Дальнереченского муниципального района зарегистрировано 196 субъектов малого предпринимательства, из них: юридических лиц - 36 и индивидуальных предпринимателей - 160.  </w:t>
      </w:r>
    </w:p>
    <w:p>
      <w:pPr>
        <w:pStyle w:val="Normal"/>
        <w:spacing w:before="0" w:after="0"/>
        <w:ind w:firstLine="709"/>
        <w:contextualSpacing/>
        <w:jc w:val="both"/>
        <w:rPr>
          <w:highlight w:val="none"/>
          <w:shd w:fill="auto" w:val="clear"/>
        </w:rPr>
      </w:pPr>
      <w:r>
        <w:rPr>
          <w:sz w:val="28"/>
          <w:szCs w:val="28"/>
          <w:shd w:fill="auto" w:val="clear"/>
        </w:rPr>
        <w:t>По сравнению аналогичным периодом прошлого года численность индивидуальных предпринимателей увеличилась на 6 ед., численность юридических лиц увеличилось на 2 ед. Средняя численность работников индивидуальных предпринимателей по оценочным данным составила 153 человека. По оценочным данным средняя численность работников малых предприятий составляет  433 человека.</w:t>
      </w:r>
    </w:p>
    <w:p>
      <w:pPr>
        <w:pStyle w:val="Normal"/>
        <w:spacing w:before="0" w:after="0"/>
        <w:ind w:firstLine="709"/>
        <w:contextualSpacing/>
        <w:jc w:val="both"/>
        <w:rPr>
          <w:highlight w:val="none"/>
          <w:shd w:fill="auto" w:val="clear"/>
        </w:rPr>
      </w:pPr>
      <w:r>
        <w:rPr>
          <w:sz w:val="28"/>
          <w:szCs w:val="28"/>
          <w:shd w:fill="auto" w:val="clear"/>
        </w:rPr>
        <w:t>Из общего оборота малых предприятий наибольшую долю занимает оборот предприятий оптовой и розничной торговли, сельского хозяйства.</w:t>
      </w:r>
    </w:p>
    <w:p>
      <w:pPr>
        <w:pStyle w:val="Normal"/>
        <w:spacing w:before="0" w:after="0"/>
        <w:ind w:firstLine="709"/>
        <w:contextualSpacing/>
        <w:jc w:val="both"/>
        <w:rPr>
          <w:highlight w:val="none"/>
          <w:shd w:fill="auto" w:val="clear"/>
        </w:rPr>
      </w:pPr>
      <w:r>
        <w:rPr>
          <w:spacing w:val="-2"/>
          <w:sz w:val="28"/>
          <w:szCs w:val="28"/>
          <w:shd w:fill="auto" w:val="clear"/>
        </w:rPr>
        <w:t xml:space="preserve">Среднемесячная заработная плата работникам предприятий выросла на 23,3% и составила в среднем 37,0 тыс. руб. </w:t>
      </w:r>
      <w:r>
        <w:rPr>
          <w:sz w:val="28"/>
          <w:szCs w:val="28"/>
          <w:shd w:fill="auto" w:val="clear"/>
          <w:lang w:eastAsia="zh-CN"/>
        </w:rPr>
        <w:t>Объем платных услуг, оказываемых населению за 1 квартал 2025 года - составил 5,1 млн. руб., увеличение по сравнению с аналогичным  периодом прошлого года составил 2,0%.</w:t>
      </w:r>
      <w:r>
        <w:rPr>
          <w:sz w:val="28"/>
          <w:szCs w:val="28"/>
          <w:shd w:fill="auto" w:val="clear"/>
        </w:rPr>
        <w:t xml:space="preserve"> </w:t>
      </w:r>
      <w:r>
        <w:rPr>
          <w:sz w:val="28"/>
          <w:szCs w:val="28"/>
          <w:shd w:fill="auto" w:val="clear"/>
          <w:lang w:eastAsia="zh-CN"/>
        </w:rPr>
        <w:t xml:space="preserve">Оборот общественного питания составил 2,8 млн. руб., уменьшение к соответствующему периоду прошлого года составляет 7,7%. </w:t>
      </w:r>
    </w:p>
    <w:p>
      <w:pPr>
        <w:pStyle w:val="Normal"/>
        <w:spacing w:before="0" w:after="0"/>
        <w:ind w:firstLine="709"/>
        <w:contextualSpacing/>
        <w:jc w:val="both"/>
        <w:rPr>
          <w:highlight w:val="none"/>
          <w:shd w:fill="auto" w:val="clear"/>
        </w:rPr>
      </w:pPr>
      <w:r>
        <w:rPr>
          <w:sz w:val="28"/>
          <w:szCs w:val="28"/>
          <w:shd w:fill="auto" w:val="clear"/>
        </w:rPr>
        <w:t>По видам экономической деятельности наибольшее число субъектов малого бизнеса представлено в сельском хозяйстве, сфере розничной торговли</w:t>
      </w:r>
      <w:r>
        <w:rPr>
          <w:color w:val="000000"/>
          <w:sz w:val="28"/>
          <w:szCs w:val="28"/>
          <w:shd w:fill="auto" w:val="clear"/>
        </w:rPr>
        <w:t xml:space="preserve">. За отчетный период в малом бизнесе дополнительно создано 7 рабочих мест (регистрация предпринимательской деятельности). </w:t>
      </w:r>
    </w:p>
    <w:p>
      <w:pPr>
        <w:pStyle w:val="Normal"/>
        <w:spacing w:before="0" w:after="0"/>
        <w:ind w:firstLine="709"/>
        <w:contextualSpacing/>
        <w:jc w:val="both"/>
        <w:rPr>
          <w:highlight w:val="none"/>
          <w:shd w:fill="auto" w:val="clear"/>
        </w:rPr>
      </w:pPr>
      <w:r>
        <w:rPr>
          <w:sz w:val="28"/>
          <w:szCs w:val="28"/>
          <w:shd w:fill="auto" w:val="clear"/>
        </w:rPr>
        <w:t>По предварительной оценке, оборот малого предпринимательства за 1 квартал 2025 года  составил 92,4* млн. руб.</w:t>
      </w:r>
    </w:p>
    <w:p>
      <w:pPr>
        <w:pStyle w:val="Normal"/>
        <w:spacing w:lineRule="auto" w:line="288" w:before="0" w:after="0"/>
        <w:ind w:firstLine="567" w:left="567"/>
        <w:contextualSpacing/>
        <w:jc w:val="both"/>
        <w:rPr>
          <w:highlight w:val="none"/>
          <w:shd w:fill="auto" w:val="clear"/>
        </w:rPr>
      </w:pPr>
      <w:r>
        <w:rPr>
          <w:b/>
          <w:sz w:val="28"/>
          <w:szCs w:val="28"/>
          <w:shd w:fill="auto" w:val="clear"/>
        </w:rPr>
        <w:t xml:space="preserve">                      </w:t>
      </w:r>
    </w:p>
    <w:p>
      <w:pPr>
        <w:pStyle w:val="Normal"/>
        <w:spacing w:lineRule="auto" w:line="288" w:before="0" w:after="0"/>
        <w:ind w:firstLine="567" w:left="567"/>
        <w:contextualSpacing/>
        <w:jc w:val="center"/>
        <w:rPr>
          <w:highlight w:val="none"/>
          <w:shd w:fill="auto" w:val="clear"/>
        </w:rPr>
      </w:pPr>
      <w:r>
        <w:rPr>
          <w:b/>
          <w:sz w:val="28"/>
          <w:szCs w:val="28"/>
          <w:shd w:fill="auto" w:val="clear"/>
        </w:rPr>
        <w:t xml:space="preserve"> </w:t>
      </w:r>
      <w:r>
        <w:rPr>
          <w:b/>
          <w:sz w:val="28"/>
          <w:szCs w:val="28"/>
          <w:shd w:fill="auto" w:val="clear"/>
        </w:rPr>
        <w:t>Меры муниципальной поддержки развития МП</w:t>
      </w:r>
    </w:p>
    <w:p>
      <w:pPr>
        <w:pStyle w:val="Normal"/>
        <w:spacing w:before="0" w:after="0"/>
        <w:ind w:firstLine="709"/>
        <w:contextualSpacing/>
        <w:jc w:val="both"/>
        <w:rPr>
          <w:highlight w:val="none"/>
          <w:shd w:fill="auto" w:val="clear"/>
        </w:rPr>
      </w:pPr>
      <w:r>
        <w:rPr>
          <w:sz w:val="28"/>
          <w:szCs w:val="28"/>
          <w:shd w:fill="auto" w:val="clear"/>
        </w:rPr>
        <w:t>Поддержка малого предпринимательства, формирование благоприятного климата для его дальнейшего развития, является одним из приоритетных направлений деятельности администрации муниципального района. Органами местного самоуправления создана нормативно правовая база, регулирующая отношения бизнеса и власти.</w:t>
      </w:r>
    </w:p>
    <w:p>
      <w:pPr>
        <w:pStyle w:val="Normal"/>
        <w:spacing w:before="0" w:after="0"/>
        <w:ind w:firstLine="709"/>
        <w:contextualSpacing/>
        <w:jc w:val="both"/>
        <w:rPr>
          <w:highlight w:val="none"/>
          <w:shd w:fill="auto" w:val="clear"/>
        </w:rPr>
      </w:pPr>
      <w:r>
        <w:rPr>
          <w:sz w:val="28"/>
          <w:szCs w:val="28"/>
          <w:shd w:fill="auto" w:val="clear"/>
        </w:rPr>
        <w:t>Постановлением администрации Дальнереченского муниципального района от 14.11.2024 № 581-па утверждена муниципальная программа «Развитие предпринимательства в Дальнереченском муниципальном</w:t>
      </w:r>
      <w:bookmarkStart w:id="1" w:name="bookmark2"/>
      <w:r>
        <w:rPr>
          <w:sz w:val="28"/>
          <w:szCs w:val="28"/>
          <w:shd w:fill="auto" w:val="clear"/>
        </w:rPr>
        <w:t xml:space="preserve"> районе на 2025 - 2029 годы»</w:t>
      </w:r>
      <w:bookmarkEnd w:id="1"/>
      <w:r>
        <w:rPr>
          <w:sz w:val="28"/>
          <w:szCs w:val="28"/>
          <w:shd w:fill="auto" w:val="clear"/>
        </w:rPr>
        <w:t xml:space="preserve">. </w:t>
      </w:r>
      <w:r>
        <w:rPr>
          <w:sz w:val="28"/>
          <w:szCs w:val="28"/>
          <w:shd w:fill="auto" w:val="clear"/>
          <w:lang w:eastAsia="zh-CN"/>
        </w:rPr>
        <w:t>В рамках реализации этой программы в 2025 году в бюджете муниципального района предусмотрено 405,00 тыс руб: на проведение профессиональных праздников, популяризация предпринимательской деятельности и формирование положительного имиджа предпринимателя, развития социального предпринимательства, а также на проведение семинаров, бизнес-встреч - 55,00 тыс. руб.; популяризацию продукции местных производителей, содействие в участии юридических лиц и индивидуальных предпринимателей (в том числе самозанятых граждан и граждан ведущих личное подсобное хозяйство) выставках, ярмарках и иных реализуемых проектов на территории Приморского края – 50,00 тыс. руб.; возмещение части затрат субъектам малого и среднего предпринимательства, осуществляющих свою деятельность в сфере социального предпринимательства – 50,00 тыс. руб.; возмещение части затрат субъектам малого и среднего предпринимательства, осуществляющих свою деятельность в области сельскохозяйственного производства – 200,00 тыс. руб.; возмещение части затрат субъектам малого и среднего предпринимательства, связанных с производством хлеба и мучных кондитерских изделий  – 50,00 тыс. руб.</w:t>
      </w:r>
    </w:p>
    <w:p>
      <w:pPr>
        <w:pStyle w:val="Normal"/>
        <w:spacing w:before="0" w:after="0"/>
        <w:ind w:firstLine="709"/>
        <w:contextualSpacing/>
        <w:jc w:val="both"/>
        <w:rPr>
          <w:highlight w:val="none"/>
          <w:shd w:fill="auto" w:val="clear"/>
        </w:rPr>
      </w:pPr>
      <w:r>
        <w:rPr>
          <w:sz w:val="28"/>
          <w:szCs w:val="28"/>
          <w:shd w:fill="auto" w:val="clear"/>
        </w:rPr>
        <w:t>В рамках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2020 - 2027 годы» между сельскохозяйственными товаропроизводителями Дальнереченского муниципального района и Министерством сельского хозяйства Приморского края заключены соглашения о плановых размерах посевных площадей и валовом сборе продукции сельского хозяйства на 2025 год.</w:t>
      </w:r>
    </w:p>
    <w:p>
      <w:pPr>
        <w:pStyle w:val="Normal"/>
        <w:suppressAutoHyphens w:val="true"/>
        <w:ind w:firstLine="567"/>
        <w:jc w:val="both"/>
        <w:rPr>
          <w:highlight w:val="none"/>
          <w:shd w:fill="auto" w:val="clear"/>
        </w:rPr>
      </w:pPr>
      <w:r>
        <w:rPr>
          <w:sz w:val="28"/>
          <w:szCs w:val="28"/>
          <w:shd w:fill="auto" w:val="clear"/>
        </w:rPr>
        <w:t xml:space="preserve">За январь-март 2025  года муниципальными заказчиками проведено 580 торгов и других способов закупок на поставки товаров, выполнение работ, оказание услуг для нужд Дальнереченского муниципального района, из них 15 аукциона в электронной форме, 565 закупки у единственного поставщика согласно п. 1, 8, 4, 5,9,  26, 29  ч.1 ст. 93 Федерального закона от 05.04.2013 г. № 44-ФЗ. </w:t>
      </w:r>
    </w:p>
    <w:p>
      <w:pPr>
        <w:pStyle w:val="Normal"/>
        <w:suppressAutoHyphens w:val="true"/>
        <w:ind w:firstLine="567"/>
        <w:jc w:val="both"/>
        <w:rPr>
          <w:highlight w:val="none"/>
          <w:shd w:fill="auto" w:val="clear"/>
        </w:rPr>
      </w:pPr>
      <w:r>
        <w:rPr>
          <w:sz w:val="28"/>
          <w:szCs w:val="28"/>
          <w:shd w:fill="auto" w:val="clear"/>
        </w:rPr>
        <w:t>По итогам размещения заказов на поставки товаров, выполнение работ, оказание услуг за 1 квартал 2025 года заключено муниципальных контрактов и иных гражданско-правовых договоров на сумму 102501,6 тыс. руб., из них по проведенным аукционам в электронной форме - на сумму 16643,3 тыс. руб.; у единственного поставщика (согласно п. 1, 4, 5, 8, 9, 26, 29 ч.1 ст. 93 Федерального закона от 05.04.2013 г. № 44-ФЗ) - на сумму  85858,3 тыс. руб., в т.ч. коммунальные услуги на сумму – 32932,8 тыс. руб</w:t>
      </w:r>
      <w:bookmarkStart w:id="2" w:name="_Hlk165988934"/>
      <w:r>
        <w:rPr>
          <w:sz w:val="28"/>
          <w:szCs w:val="28"/>
          <w:shd w:fill="auto" w:val="clear"/>
        </w:rPr>
        <w:t>.(32,1% от общей суммы заключенных контрактов)</w:t>
      </w:r>
      <w:bookmarkEnd w:id="2"/>
      <w:r>
        <w:rPr>
          <w:sz w:val="28"/>
          <w:szCs w:val="28"/>
          <w:shd w:fill="auto" w:val="clear"/>
        </w:rPr>
        <w:t>; подрядные работы – 39123,3 тыс. руб.(38,2% от общей суммы заключенных контрактов), прочие на сумму – 30445,5 тыс. руб.(29,7% от общей суммы заключенных контрактов).  Экономия составила – 1295,5 тыс. руб.</w:t>
      </w:r>
    </w:p>
    <w:p>
      <w:pPr>
        <w:pStyle w:val="Normal"/>
        <w:suppressAutoHyphens w:val="true"/>
        <w:ind w:firstLine="567"/>
        <w:jc w:val="both"/>
        <w:rPr>
          <w:highlight w:val="none"/>
          <w:shd w:fill="auto" w:val="clear"/>
        </w:rPr>
      </w:pPr>
      <w:r>
        <w:rPr>
          <w:sz w:val="28"/>
          <w:szCs w:val="28"/>
          <w:shd w:fill="auto" w:val="clear"/>
        </w:rPr>
        <w:t>За январь-март 2025 года закуплено товаров, работ  и услуг у субъектов малого и среднего предпринимательства и социально ориентированных некоммерческих организаций на сумму12273,7 тыс. руб.</w:t>
      </w:r>
    </w:p>
    <w:p>
      <w:pPr>
        <w:pStyle w:val="Normal"/>
        <w:suppressAutoHyphens w:val="true"/>
        <w:ind w:firstLine="567"/>
        <w:jc w:val="both"/>
        <w:rPr>
          <w:highlight w:val="none"/>
          <w:shd w:fill="auto" w:val="clear"/>
        </w:rPr>
      </w:pPr>
      <w:r>
        <w:rPr>
          <w:rFonts w:cs="Times New Roman"/>
          <w:b/>
          <w:iCs/>
          <w:color w:val="000000"/>
          <w:sz w:val="28"/>
          <w:szCs w:val="28"/>
          <w:shd w:fill="auto" w:val="clear"/>
          <w:lang w:eastAsia="zh-CN"/>
        </w:rPr>
        <w:t xml:space="preserve"> </w:t>
      </w:r>
      <w:r>
        <w:rPr>
          <w:rFonts w:cs="Times New Roman"/>
          <w:iCs/>
          <w:color w:val="000000"/>
          <w:sz w:val="28"/>
          <w:szCs w:val="28"/>
          <w:shd w:fill="auto" w:val="clear"/>
          <w:lang w:eastAsia="zh-CN"/>
        </w:rPr>
        <w:t>Нарушений в части размещения муниципальных заказов не выявлено.</w:t>
      </w:r>
    </w:p>
    <w:p>
      <w:pPr>
        <w:pStyle w:val="Normal"/>
        <w:spacing w:before="0" w:after="0"/>
        <w:ind w:firstLine="709"/>
        <w:contextualSpacing/>
        <w:jc w:val="both"/>
        <w:rPr>
          <w:highlight w:val="none"/>
          <w:shd w:fill="auto" w:val="clear"/>
        </w:rPr>
      </w:pPr>
      <w:r>
        <w:rPr>
          <w:sz w:val="28"/>
          <w:szCs w:val="28"/>
          <w:shd w:fill="auto" w:val="clear"/>
        </w:rPr>
        <w:t>За 1 квартал 2025 года из бюджета Дальнереченского муниципального района были предоставлены субсидии юридическим лицам на возмещение затрат недополученных доходов связанных с осуществлением регулярных пассажирских перевозок автомобильным транспортом по регулируемым тарифам на территории Дальнереченского муниципального района в разме</w:t>
      </w:r>
      <w:r>
        <w:rPr>
          <w:i w:val="false"/>
          <w:iCs w:val="false"/>
          <w:sz w:val="28"/>
          <w:szCs w:val="28"/>
          <w:shd w:fill="auto" w:val="clear"/>
        </w:rPr>
        <w:t>ре 1 983,88</w:t>
      </w:r>
      <w:r>
        <w:rPr>
          <w:rFonts w:cs="Times New Roman"/>
          <w:b w:val="false"/>
          <w:bCs w:val="false"/>
          <w:i w:val="false"/>
          <w:iCs w:val="false"/>
          <w:color w:val="000000"/>
          <w:sz w:val="28"/>
          <w:szCs w:val="28"/>
          <w:shd w:fill="auto" w:val="clear"/>
          <w:lang w:val="ru-RU" w:eastAsia="ru-RU"/>
        </w:rPr>
        <w:t xml:space="preserve"> </w:t>
      </w:r>
      <w:r>
        <w:rPr>
          <w:i w:val="false"/>
          <w:iCs w:val="false"/>
          <w:sz w:val="28"/>
          <w:szCs w:val="28"/>
          <w:shd w:fill="auto" w:val="clear"/>
        </w:rPr>
        <w:t>тыс. р</w:t>
      </w:r>
      <w:r>
        <w:rPr>
          <w:sz w:val="28"/>
          <w:szCs w:val="28"/>
          <w:shd w:fill="auto" w:val="clear"/>
        </w:rPr>
        <w:t>уб.</w:t>
      </w:r>
    </w:p>
    <w:p>
      <w:pPr>
        <w:pStyle w:val="Normal"/>
        <w:ind w:firstLine="709"/>
        <w:jc w:val="both"/>
        <w:rPr>
          <w:highlight w:val="none"/>
          <w:shd w:fill="auto" w:val="clear"/>
        </w:rPr>
      </w:pPr>
      <w:r>
        <w:rPr>
          <w:sz w:val="28"/>
          <w:szCs w:val="28"/>
          <w:shd w:fill="auto" w:val="clear"/>
        </w:rPr>
        <w:t xml:space="preserve">В 2025 году продолжилась работа по снабжению граждан твердым топливом  (дровами), проживающих в жилых домах с печным отоплением на территории Дальнереченского муниципального района. </w:t>
      </w:r>
      <w:r>
        <w:rPr>
          <w:b w:val="false"/>
          <w:bCs w:val="false"/>
          <w:sz w:val="28"/>
          <w:szCs w:val="28"/>
          <w:shd w:fill="auto" w:val="clear"/>
        </w:rPr>
        <w:t>В</w:t>
      </w:r>
      <w:r>
        <w:rPr>
          <w:rFonts w:cs="Times New Roman"/>
          <w:b w:val="false"/>
          <w:bCs w:val="false"/>
          <w:sz w:val="28"/>
          <w:szCs w:val="28"/>
          <w:shd w:fill="auto" w:val="clear"/>
        </w:rPr>
        <w:t xml:space="preserve"> целях возмещения недополученных доходов юридическим лицам, индивидуальным предпринимателям, осуществляющим обеспечение населения  дровами в</w:t>
      </w:r>
      <w:r>
        <w:rPr>
          <w:sz w:val="28"/>
          <w:szCs w:val="28"/>
          <w:shd w:fill="auto" w:val="clear"/>
        </w:rPr>
        <w:t>ыделено субсидии в размере 15,10 млн. руб. За 1 квартал 2025 года по фиксированному тарифу получили дрова 316 семьи района, объем реализованного топлива составил 3 062,61 м3. План освоения субсидии составил  48%.</w:t>
      </w:r>
    </w:p>
    <w:p>
      <w:pPr>
        <w:pStyle w:val="Normal"/>
        <w:ind w:firstLine="709"/>
        <w:jc w:val="both"/>
        <w:rPr>
          <w:highlight w:val="none"/>
          <w:shd w:fill="auto" w:val="clear"/>
        </w:rPr>
      </w:pPr>
      <w:r>
        <w:rPr>
          <w:sz w:val="28"/>
          <w:szCs w:val="28"/>
          <w:shd w:fill="auto" w:val="clear"/>
        </w:rPr>
        <w:t xml:space="preserve">По программе «Дальневосточный гектар» по освоению земель граждане получили право безвозмездно получить в свое распоряжение земельный надел на Дальнем Востоке для различных целей, в том числе для ведения бизнеса, работы на себя или просто для проживания. За 2024 года под программу «Дальневосточным гектар» выделено 6,0 гектаров земли. Всего, за период действия программы выделено 396,1 га земли. </w:t>
      </w:r>
    </w:p>
    <w:p>
      <w:pPr>
        <w:pStyle w:val="Normal"/>
        <w:widowControl w:val="false"/>
        <w:tabs>
          <w:tab w:val="clear" w:pos="720"/>
          <w:tab w:val="center" w:pos="4677" w:leader="none"/>
        </w:tabs>
        <w:suppressAutoHyphens w:val="true"/>
        <w:ind w:firstLine="709"/>
        <w:jc w:val="both"/>
        <w:rPr>
          <w:highlight w:val="none"/>
          <w:shd w:fill="auto" w:val="clear"/>
        </w:rPr>
      </w:pPr>
      <w:r>
        <w:rPr>
          <w:sz w:val="28"/>
          <w:szCs w:val="28"/>
          <w:shd w:fill="auto" w:val="clear"/>
        </w:rPr>
        <w:t>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«Инвестиционная деятельность» и «Малое и среднее предпринимательство».</w:t>
      </w:r>
    </w:p>
    <w:p>
      <w:pPr>
        <w:pStyle w:val="Normal"/>
        <w:widowControl w:val="false"/>
        <w:tabs>
          <w:tab w:val="clear" w:pos="720"/>
          <w:tab w:val="center" w:pos="4677" w:leader="none"/>
        </w:tabs>
        <w:ind w:firstLine="697"/>
        <w:jc w:val="both"/>
        <w:rPr>
          <w:highlight w:val="none"/>
          <w:shd w:fill="auto" w:val="clear"/>
        </w:rPr>
      </w:pPr>
      <w:r>
        <w:rPr>
          <w:sz w:val="28"/>
          <w:szCs w:val="28"/>
          <w:shd w:fill="auto" w:val="clear"/>
        </w:rPr>
        <w:t xml:space="preserve">При Главе администрации Дальнереченского муниицпальнного района  продолжает работу Совет </w:t>
      </w:r>
      <w:r>
        <w:rPr>
          <w:bCs/>
          <w:sz w:val="28"/>
          <w:szCs w:val="28"/>
          <w:shd w:fill="auto" w:val="clear"/>
        </w:rPr>
        <w:t>по улучшению инвестиционного климата и развития предпринимательства</w:t>
      </w:r>
      <w:r>
        <w:rPr>
          <w:sz w:val="28"/>
          <w:szCs w:val="28"/>
          <w:shd w:fill="auto" w:val="clear"/>
        </w:rPr>
        <w:t xml:space="preserve">. За текущий период проведено 1 заседание Совета, на котором рассматривались вопросы предпринимательской деятельности, законодательства, </w:t>
      </w:r>
      <w:r>
        <w:rPr>
          <w:bCs/>
          <w:sz w:val="28"/>
          <w:szCs w:val="28"/>
          <w:shd w:fill="auto" w:val="clear"/>
        </w:rPr>
        <w:t>реализации социального контракта</w:t>
      </w:r>
      <w:r>
        <w:rPr>
          <w:sz w:val="28"/>
          <w:szCs w:val="28"/>
          <w:shd w:fill="auto" w:val="clear"/>
        </w:rPr>
        <w:t xml:space="preserve"> и другие.</w:t>
      </w:r>
    </w:p>
    <w:p>
      <w:pPr>
        <w:pStyle w:val="Normal"/>
        <w:ind w:firstLine="709"/>
        <w:jc w:val="both"/>
        <w:rPr>
          <w:highlight w:val="none"/>
          <w:shd w:fill="auto" w:val="clear"/>
        </w:rPr>
      </w:pPr>
      <w:r>
        <w:rPr>
          <w:rFonts w:eastAsia="Calibri"/>
          <w:sz w:val="28"/>
          <w:szCs w:val="28"/>
          <w:shd w:fill="auto" w:val="clear"/>
          <w:lang w:eastAsia="en-US"/>
        </w:rPr>
        <w:t>В соответствии со ст. 18 Федерального закона от 24.07.2007 г. № 209-ФЗ «О развитии малого предпринимательства в Российской Федерации» и Федеральным законом от 22.07.2008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администрацией Дальнереченского муниципального района проводится работа по имущественной поддержке субъектов МСП.</w:t>
      </w:r>
    </w:p>
    <w:p>
      <w:pPr>
        <w:pStyle w:val="Normal"/>
        <w:ind w:firstLine="709"/>
        <w:jc w:val="both"/>
        <w:rPr>
          <w:highlight w:val="none"/>
          <w:shd w:fill="auto" w:val="clear"/>
        </w:rPr>
      </w:pPr>
      <w:r>
        <w:rPr>
          <w:rFonts w:eastAsia="Calibri"/>
          <w:sz w:val="28"/>
          <w:szCs w:val="28"/>
          <w:shd w:fill="auto" w:val="clear"/>
          <w:lang w:eastAsia="en-US"/>
        </w:rPr>
        <w:t>Также в рамках исполнения административного регламента от 24.08.2021 года № 362-па субъектам МСП предоставляется преимущественное право на приобретение арендуемого имущества в собственность.</w:t>
      </w:r>
    </w:p>
    <w:p>
      <w:pPr>
        <w:pStyle w:val="Normal"/>
        <w:ind w:firstLine="709"/>
        <w:jc w:val="both"/>
        <w:rPr>
          <w:highlight w:val="none"/>
          <w:shd w:fill="auto" w:val="clear"/>
        </w:rPr>
      </w:pPr>
      <w:r>
        <w:rPr>
          <w:sz w:val="28"/>
          <w:szCs w:val="28"/>
          <w:shd w:fill="auto" w:val="clear"/>
        </w:rPr>
        <w:t>Финансово-кредитную поддержку субъектам малого и среднего бизнеса оказывают 4-е действующих учреждения  банковской сферы, расположенных на территории городского округа и два на территории Дальнереченского муниципального района.</w:t>
      </w:r>
    </w:p>
    <w:p>
      <w:pPr>
        <w:pStyle w:val="Normal"/>
        <w:tabs>
          <w:tab w:val="clear" w:pos="720"/>
          <w:tab w:val="left" w:pos="1080" w:leader="none"/>
        </w:tabs>
        <w:spacing w:before="0" w:after="0"/>
        <w:ind w:firstLine="709"/>
        <w:contextualSpacing/>
        <w:jc w:val="both"/>
        <w:rPr>
          <w:highlight w:val="none"/>
          <w:shd w:fill="auto" w:val="clear"/>
        </w:rPr>
      </w:pPr>
      <w:r>
        <w:rPr>
          <w:sz w:val="28"/>
          <w:szCs w:val="28"/>
          <w:shd w:fill="auto" w:val="clear"/>
        </w:rPr>
        <w:t xml:space="preserve">В рамках реализации программных мероприятий организовываются семинары-совещания, на которых рассматриваются вопросы трудового, налогового и пенсионного законодательства, проводятся  индивидуальные консультации по организации собственного дела, включая ознакомление с действующим законодательством. </w:t>
      </w:r>
    </w:p>
    <w:p>
      <w:pPr>
        <w:pStyle w:val="Normal"/>
        <w:tabs>
          <w:tab w:val="clear" w:pos="720"/>
          <w:tab w:val="left" w:pos="1080" w:leader="none"/>
        </w:tabs>
        <w:spacing w:before="0" w:after="0"/>
        <w:ind w:firstLine="709"/>
        <w:contextualSpacing/>
        <w:jc w:val="both"/>
        <w:rPr>
          <w:highlight w:val="none"/>
          <w:shd w:fill="auto" w:val="clear"/>
        </w:rPr>
      </w:pPr>
      <w:r>
        <w:rPr>
          <w:sz w:val="28"/>
          <w:szCs w:val="28"/>
          <w:shd w:fill="auto" w:val="clear"/>
        </w:rPr>
        <w:t>Проблемы становления и развития предпринимательства в районе широко освещаются в средствах массовой информации. Создан раздел «Малое предпринимательство» на Интернет-сайте Дальнереченского муниципального района. Предприниматели получили возможность доступа к интернету, ознакомления и получения новейшей справочной информации, консультирования по вопросам перспективных направлений ведения бизнеса, получения помощи в оформления необходимой документации</w:t>
      </w:r>
      <w:r>
        <w:rPr>
          <w:color w:val="000000"/>
          <w:sz w:val="28"/>
          <w:szCs w:val="28"/>
          <w:shd w:fill="auto" w:val="clear"/>
        </w:rPr>
        <w:t>. От сотрудников отдела экономики консультационную поддержку получил 21 человек.</w:t>
      </w:r>
    </w:p>
    <w:p>
      <w:pPr>
        <w:pStyle w:val="Normal"/>
        <w:spacing w:before="0" w:after="0"/>
        <w:ind w:firstLine="709"/>
        <w:contextualSpacing/>
        <w:jc w:val="both"/>
        <w:rPr>
          <w:sz w:val="26"/>
          <w:szCs w:val="26"/>
          <w:highlight w:val="none"/>
          <w:shd w:fill="auto" w:val="clear"/>
        </w:rPr>
      </w:pPr>
      <w:r>
        <w:rPr>
          <w:sz w:val="26"/>
          <w:szCs w:val="26"/>
          <w:shd w:fill="auto" w:val="clear"/>
        </w:rPr>
      </w:r>
    </w:p>
    <w:p>
      <w:pPr>
        <w:pStyle w:val="Normal"/>
        <w:spacing w:before="0" w:after="0"/>
        <w:ind w:firstLine="709"/>
        <w:contextualSpacing/>
        <w:jc w:val="both"/>
        <w:rPr>
          <w:highlight w:val="none"/>
          <w:shd w:fill="auto" w:val="clear"/>
        </w:rPr>
      </w:pPr>
      <w:r>
        <w:rPr>
          <w:shd w:fill="auto" w:val="clear"/>
        </w:rPr>
      </w:r>
    </w:p>
    <w:sectPr>
      <w:headerReference w:type="even" r:id="rId2"/>
      <w:headerReference w:type="default" r:id="rId3"/>
      <w:type w:val="nextPage"/>
      <w:pgSz w:w="11906" w:h="16838"/>
      <w:pgMar w:left="851" w:right="424" w:gutter="0" w:header="720" w:top="777" w:footer="0" w:bottom="567"/>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Times New Roman CYR">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1">
              <wp:simplePos x="0" y="0"/>
              <wp:positionH relativeFrom="margin">
                <wp:align>center</wp:align>
              </wp:positionH>
              <wp:positionV relativeFrom="paragraph">
                <wp:posOffset>635</wp:posOffset>
              </wp:positionV>
              <wp:extent cx="64135" cy="145415"/>
              <wp:effectExtent l="0" t="0" r="0" b="0"/>
              <wp:wrapSquare wrapText="bothSides"/>
              <wp:docPr id="2" name="Врезка2"/>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fillRef idx="0"/>
                      <a:effectRef idx="0"/>
                      <a:fontRef idx="minor"/>
                    </wps:style>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63.2pt;margin-top:0.05pt;width:5pt;height:11.4pt;mso-wrap-style:square;v-text-anchor:top;mso-position-horizontal:center;mso-position-horizontal-relative:margin">
              <v:fill o:detectmouseclick="t" on="false"/>
              <v:stroke color="#3465a4"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v:rect>
          </w:pict>
        </mc:Fallback>
      </mc:AlternateContent>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5a8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locked/>
    <w:rsid w:val="000934bc"/>
    <w:rPr>
      <w:rFonts w:cs="Times New Roman"/>
      <w:sz w:val="20"/>
      <w:szCs w:val="20"/>
    </w:rPr>
  </w:style>
  <w:style w:type="character" w:styleId="Pagenumber">
    <w:name w:val="page number"/>
    <w:basedOn w:val="DefaultParagraphFont"/>
    <w:uiPriority w:val="99"/>
    <w:qFormat/>
    <w:rsid w:val="009d5a8a"/>
    <w:rPr>
      <w:rFonts w:cs="Times New Roman"/>
    </w:rPr>
  </w:style>
  <w:style w:type="character" w:styleId="Style15" w:customStyle="1">
    <w:name w:val="Основной текст с отступом Знак"/>
    <w:basedOn w:val="DefaultParagraphFont"/>
    <w:uiPriority w:val="99"/>
    <w:semiHidden/>
    <w:qFormat/>
    <w:locked/>
    <w:rsid w:val="000934bc"/>
    <w:rPr>
      <w:rFonts w:cs="Times New Roman"/>
      <w:sz w:val="20"/>
      <w:szCs w:val="20"/>
    </w:rPr>
  </w:style>
  <w:style w:type="character" w:styleId="Style16" w:customStyle="1">
    <w:name w:val="Текст сноски Знак"/>
    <w:basedOn w:val="DefaultParagraphFont"/>
    <w:uiPriority w:val="99"/>
    <w:semiHidden/>
    <w:qFormat/>
    <w:locked/>
    <w:rsid w:val="000934bc"/>
    <w:rPr>
      <w:rFonts w:cs="Times New Roman"/>
      <w:sz w:val="20"/>
      <w:szCs w:val="20"/>
    </w:rPr>
  </w:style>
  <w:style w:type="character" w:styleId="Style17">
    <w:name w:val="Символ сноски"/>
    <w:uiPriority w:val="99"/>
    <w:semiHidden/>
    <w:qFormat/>
    <w:rsid w:val="00d43a91"/>
    <w:rPr>
      <w:rFonts w:cs="Times New Roman"/>
      <w:vertAlign w:val="superscript"/>
    </w:rPr>
  </w:style>
  <w:style w:type="character" w:styleId="FootnoteReference">
    <w:name w:val="Footnote Reference"/>
    <w:rPr>
      <w:rFonts w:cs="Times New Roman"/>
      <w:vertAlign w:val="superscript"/>
    </w:rPr>
  </w:style>
  <w:style w:type="character" w:styleId="FootnoteCharacters">
    <w:name w:val="Footnote Characters"/>
    <w:qFormat/>
    <w:rPr>
      <w:rFonts w:cs="Times New Roman"/>
      <w:vertAlign w:val="superscript"/>
    </w:rPr>
  </w:style>
  <w:style w:type="character" w:styleId="Style18" w:customStyle="1">
    <w:name w:val="Текст выноски Знак"/>
    <w:basedOn w:val="DefaultParagraphFont"/>
    <w:link w:val="BalloonText"/>
    <w:uiPriority w:val="99"/>
    <w:qFormat/>
    <w:locked/>
    <w:rsid w:val="00c77047"/>
    <w:rPr>
      <w:rFonts w:ascii="Tahoma" w:hAnsi="Tahoma" w:cs="Tahoma"/>
      <w:sz w:val="16"/>
      <w:szCs w:val="16"/>
    </w:rPr>
  </w:style>
  <w:style w:type="character" w:styleId="2" w:customStyle="1">
    <w:name w:val="Основной текст с отступом 2 Знак"/>
    <w:basedOn w:val="DefaultParagraphFont"/>
    <w:link w:val="BodyTextIndent2"/>
    <w:uiPriority w:val="99"/>
    <w:semiHidden/>
    <w:qFormat/>
    <w:locked/>
    <w:rsid w:val="00117632"/>
    <w:rPr>
      <w:rFonts w:cs="Times New Roman"/>
      <w:sz w:val="20"/>
      <w:szCs w:val="20"/>
    </w:rPr>
  </w:style>
  <w:style w:type="character" w:styleId="Style19" w:customStyle="1">
    <w:name w:val="Название Знак"/>
    <w:basedOn w:val="DefaultParagraphFont"/>
    <w:uiPriority w:val="99"/>
    <w:qFormat/>
    <w:locked/>
    <w:rsid w:val="0018322d"/>
    <w:rPr>
      <w:rFonts w:cs="Times New Roman"/>
      <w:b/>
      <w:sz w:val="26"/>
      <w:lang w:val="ru-RU" w:eastAsia="ru-RU" w:bidi="ar-SA"/>
    </w:rPr>
  </w:style>
  <w:style w:type="character" w:styleId="TitleChar" w:customStyle="1">
    <w:name w:val="Title Char"/>
    <w:basedOn w:val="DefaultParagraphFont"/>
    <w:uiPriority w:val="99"/>
    <w:qFormat/>
    <w:locked/>
    <w:rsid w:val="00117632"/>
    <w:rPr>
      <w:rFonts w:ascii="Cambria" w:hAnsi="Cambria" w:cs="Times New Roman"/>
      <w:b/>
      <w:bCs/>
      <w:kern w:val="2"/>
      <w:sz w:val="32"/>
      <w:szCs w:val="32"/>
    </w:rPr>
  </w:style>
  <w:style w:type="character" w:styleId="Style20" w:customStyle="1">
    <w:name w:val="Нижний колонтитул Знак"/>
    <w:basedOn w:val="DefaultParagraphFont"/>
    <w:uiPriority w:val="99"/>
    <w:semiHidden/>
    <w:qFormat/>
    <w:locked/>
    <w:rsid w:val="00b207c6"/>
    <w:rPr>
      <w:rFonts w:cs="Times New Roman"/>
      <w:sz w:val="20"/>
      <w:szCs w:val="20"/>
    </w:rPr>
  </w:style>
  <w:style w:type="character" w:styleId="Style21" w:customStyle="1">
    <w:name w:val="Обычный (веб) Знак"/>
    <w:basedOn w:val="DefaultParagraphFont"/>
    <w:link w:val="NormalWeb"/>
    <w:uiPriority w:val="99"/>
    <w:qFormat/>
    <w:locked/>
    <w:rsid w:val="00d309ba"/>
    <w:rPr>
      <w:rFonts w:cs="Times New Roman"/>
      <w:sz w:val="24"/>
      <w:szCs w:val="24"/>
      <w:lang w:val="ru-RU" w:eastAsia="ru-RU" w:bidi="ar-SA"/>
    </w:rPr>
  </w:style>
  <w:style w:type="character" w:styleId="1" w:customStyle="1">
    <w:name w:val="Обычный1 Знак"/>
    <w:basedOn w:val="DefaultParagraphFont"/>
    <w:link w:val="13"/>
    <w:uiPriority w:val="99"/>
    <w:qFormat/>
    <w:locked/>
    <w:rsid w:val="004d1bc1"/>
    <w:rPr>
      <w:sz w:val="26"/>
      <w:lang w:val="ru-RU" w:eastAsia="ru-RU" w:bidi="ar-SA"/>
    </w:rPr>
  </w:style>
  <w:style w:type="character" w:styleId="11" w:customStyle="1">
    <w:name w:val="Название Знак1"/>
    <w:basedOn w:val="DefaultParagraphFont"/>
    <w:uiPriority w:val="99"/>
    <w:qFormat/>
    <w:locked/>
    <w:rsid w:val="00b02cc5"/>
    <w:rPr>
      <w:b/>
      <w:sz w:val="26"/>
    </w:rPr>
  </w:style>
  <w:style w:type="character" w:styleId="3" w:customStyle="1">
    <w:name w:val="Основной текст 3 Знак"/>
    <w:basedOn w:val="DefaultParagraphFont"/>
    <w:link w:val="BodyText3"/>
    <w:uiPriority w:val="99"/>
    <w:semiHidden/>
    <w:qFormat/>
    <w:rsid w:val="00c722c8"/>
    <w:rPr>
      <w:sz w:val="16"/>
      <w:szCs w:val="16"/>
    </w:rPr>
  </w:style>
  <w:style w:type="character" w:styleId="Style22">
    <w:name w:val="Символ нумерации"/>
    <w:qFormat/>
    <w:rPr/>
  </w:style>
  <w:style w:type="paragraph" w:styleId="Style2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Style25">
    <w:name w:val="Колонтитул"/>
    <w:basedOn w:val="Normal"/>
    <w:qFormat/>
    <w:pPr/>
    <w:rPr/>
  </w:style>
  <w:style w:type="paragraph" w:styleId="Header">
    <w:name w:val="Header"/>
    <w:basedOn w:val="Normal"/>
    <w:link w:val="Style14"/>
    <w:uiPriority w:val="99"/>
    <w:rsid w:val="009d5a8a"/>
    <w:pPr>
      <w:tabs>
        <w:tab w:val="clear" w:pos="720"/>
        <w:tab w:val="center" w:pos="4153" w:leader="none"/>
        <w:tab w:val="right" w:pos="8306" w:leader="none"/>
      </w:tabs>
    </w:pPr>
    <w:rPr/>
  </w:style>
  <w:style w:type="paragraph" w:styleId="BodyTextIndent">
    <w:name w:val="Body Text Indent"/>
    <w:basedOn w:val="Normal"/>
    <w:link w:val="Style15"/>
    <w:uiPriority w:val="99"/>
    <w:rsid w:val="009d5a8a"/>
    <w:pPr>
      <w:spacing w:lineRule="auto" w:line="360"/>
      <w:jc w:val="both"/>
    </w:pPr>
    <w:rPr>
      <w:sz w:val="28"/>
    </w:rPr>
  </w:style>
  <w:style w:type="paragraph" w:styleId="FootnoteText">
    <w:name w:val="Footnote Text"/>
    <w:basedOn w:val="Normal"/>
    <w:link w:val="Style16"/>
    <w:uiPriority w:val="99"/>
    <w:semiHidden/>
    <w:rsid w:val="00d43a91"/>
    <w:pPr/>
    <w:rPr/>
  </w:style>
  <w:style w:type="paragraph" w:styleId="BalloonText">
    <w:name w:val="Balloon Text"/>
    <w:basedOn w:val="Normal"/>
    <w:link w:val="Style18"/>
    <w:uiPriority w:val="99"/>
    <w:qFormat/>
    <w:rsid w:val="00c77047"/>
    <w:pPr/>
    <w:rPr>
      <w:rFonts w:ascii="Tahoma" w:hAnsi="Tahoma" w:cs="Tahoma"/>
      <w:sz w:val="16"/>
      <w:szCs w:val="16"/>
    </w:rPr>
  </w:style>
  <w:style w:type="paragraph" w:styleId="BodyTextIndent2">
    <w:name w:val="Body Text Indent 2"/>
    <w:basedOn w:val="Normal"/>
    <w:link w:val="2"/>
    <w:uiPriority w:val="99"/>
    <w:qFormat/>
    <w:rsid w:val="00e704e0"/>
    <w:pPr>
      <w:spacing w:lineRule="auto" w:line="480" w:before="0" w:after="120"/>
      <w:ind w:hanging="0" w:left="283"/>
      <w:jc w:val="both"/>
    </w:pPr>
    <w:rPr>
      <w:rFonts w:ascii="Times New Roman CYR" w:hAnsi="Times New Roman CYR"/>
      <w:sz w:val="28"/>
    </w:rPr>
  </w:style>
  <w:style w:type="paragraph" w:styleId="Title">
    <w:name w:val="Title"/>
    <w:basedOn w:val="Normal"/>
    <w:link w:val="Style19"/>
    <w:uiPriority w:val="99"/>
    <w:qFormat/>
    <w:rsid w:val="0018322d"/>
    <w:pPr>
      <w:jc w:val="center"/>
    </w:pPr>
    <w:rPr>
      <w:b/>
      <w:sz w:val="26"/>
    </w:rPr>
  </w:style>
  <w:style w:type="paragraph" w:styleId="12" w:customStyle="1">
    <w:name w:val="Название1"/>
    <w:basedOn w:val="Normal"/>
    <w:uiPriority w:val="99"/>
    <w:qFormat/>
    <w:rsid w:val="0018322d"/>
    <w:pPr>
      <w:jc w:val="center"/>
    </w:pPr>
    <w:rPr>
      <w:b/>
      <w:sz w:val="26"/>
    </w:rPr>
  </w:style>
  <w:style w:type="paragraph" w:styleId="NormalWeb">
    <w:name w:val="Normal (Web)"/>
    <w:basedOn w:val="Normal"/>
    <w:link w:val="Style21"/>
    <w:uiPriority w:val="99"/>
    <w:qFormat/>
    <w:rsid w:val="003115af"/>
    <w:pPr>
      <w:spacing w:beforeAutospacing="1" w:afterAutospacing="1"/>
    </w:pPr>
    <w:rPr>
      <w:sz w:val="24"/>
      <w:szCs w:val="24"/>
    </w:rPr>
  </w:style>
  <w:style w:type="paragraph" w:styleId="Western" w:customStyle="1">
    <w:name w:val="western"/>
    <w:basedOn w:val="Normal"/>
    <w:uiPriority w:val="99"/>
    <w:qFormat/>
    <w:rsid w:val="003c4e13"/>
    <w:pPr>
      <w:spacing w:beforeAutospacing="1" w:afterAutospacing="1"/>
    </w:pPr>
    <w:rPr>
      <w:sz w:val="24"/>
      <w:szCs w:val="24"/>
    </w:rPr>
  </w:style>
  <w:style w:type="paragraph" w:styleId="Footer">
    <w:name w:val="Footer"/>
    <w:basedOn w:val="Normal"/>
    <w:link w:val="Style20"/>
    <w:uiPriority w:val="99"/>
    <w:rsid w:val="004b0de4"/>
    <w:pPr>
      <w:tabs>
        <w:tab w:val="clear" w:pos="720"/>
        <w:tab w:val="center" w:pos="4677" w:leader="none"/>
        <w:tab w:val="right" w:pos="9355" w:leader="none"/>
      </w:tabs>
    </w:pPr>
    <w:rPr/>
  </w:style>
  <w:style w:type="paragraph" w:styleId="13" w:customStyle="1">
    <w:name w:val="Обычный1"/>
    <w:link w:val="1"/>
    <w:uiPriority w:val="99"/>
    <w:qFormat/>
    <w:rsid w:val="004d1bc1"/>
    <w:pPr>
      <w:widowControl/>
      <w:suppressAutoHyphens w:val="true"/>
      <w:bidi w:val="0"/>
      <w:spacing w:before="0" w:after="0"/>
      <w:jc w:val="left"/>
    </w:pPr>
    <w:rPr>
      <w:rFonts w:ascii="Times New Roman" w:hAnsi="Times New Roman" w:eastAsia="Times New Roman" w:cs="Times New Roman"/>
      <w:color w:val="auto"/>
      <w:kern w:val="0"/>
      <w:sz w:val="26"/>
      <w:szCs w:val="20"/>
      <w:lang w:val="ru-RU" w:eastAsia="ru-RU" w:bidi="ar-SA"/>
    </w:rPr>
  </w:style>
  <w:style w:type="paragraph" w:styleId="ConsNonformat" w:customStyle="1">
    <w:name w:val="ConsNonformat"/>
    <w:qFormat/>
    <w:rsid w:val="009c5852"/>
    <w:pPr>
      <w:widowControl w:val="false"/>
      <w:suppressAutoHyphens w:val="true"/>
      <w:bidi w:val="0"/>
      <w:spacing w:before="0" w:after="0"/>
      <w:jc w:val="left"/>
    </w:pPr>
    <w:rPr>
      <w:rFonts w:ascii="Courier New" w:hAnsi="Courier New" w:eastAsia="Calibri" w:cs="Courier New"/>
      <w:color w:val="auto"/>
      <w:kern w:val="0"/>
      <w:sz w:val="20"/>
      <w:szCs w:val="20"/>
      <w:lang w:val="ru-RU" w:eastAsia="ru-RU" w:bidi="ar-SA"/>
    </w:rPr>
  </w:style>
  <w:style w:type="paragraph" w:styleId="BodyText3">
    <w:name w:val="Body Text 3"/>
    <w:basedOn w:val="Normal"/>
    <w:link w:val="3"/>
    <w:uiPriority w:val="99"/>
    <w:semiHidden/>
    <w:unhideWhenUsed/>
    <w:qFormat/>
    <w:rsid w:val="00c722c8"/>
    <w:pPr>
      <w:spacing w:before="0" w:after="120"/>
    </w:pPr>
    <w:rPr>
      <w:sz w:val="16"/>
      <w:szCs w:val="16"/>
    </w:rPr>
  </w:style>
  <w:style w:type="paragraph" w:styleId="Style26">
    <w:name w:val="Содержимое врезки"/>
    <w:basedOn w:val="Normal"/>
    <w:qFormat/>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99"/>
    <w:rsid w:val="001832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B982-DD2E-4CB3-8B0D-FFC81511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Application>LibreOffice/7.6.4.1$Windows_X86_64 LibreOffice_project/e19e193f88cd6c0525a17fb7a176ed8e6a3e2aa1</Application>
  <AppVersion>15.0000</AppVersion>
  <Pages>6</Pages>
  <Words>1878</Words>
  <Characters>12875</Characters>
  <CharactersWithSpaces>14559</CharactersWithSpaces>
  <Paragraphs>309</Paragraphs>
  <Company>APK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2023-09-21T07:20:00Z</dcterms:created>
  <dc:creator>ContrUpr</dc:creator>
  <dc:description/>
  <dc:language>ru-RU</dc:language>
  <cp:lastModifiedBy/>
  <cp:lastPrinted>2025-05-14T10:31:31Z</cp:lastPrinted>
  <dcterms:modified xsi:type="dcterms:W3CDTF">2025-05-20T16:43:09Z</dcterms:modified>
  <cp:revision>149</cp:revision>
  <dc:subject/>
  <dc:title>Приложение</dc:title>
</cp:coreProperties>
</file>

<file path=docProps/custom.xml><?xml version="1.0" encoding="utf-8"?>
<Properties xmlns="http://schemas.openxmlformats.org/officeDocument/2006/custom-properties" xmlns:vt="http://schemas.openxmlformats.org/officeDocument/2006/docPropsVTypes"/>
</file>