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Times New Roman"/>
          <w:b/>
          <w:sz w:val="26"/>
          <w:szCs w:val="26"/>
        </w:rPr>
        <w:t xml:space="preserve">Анализ основных показателей социально - экономического развития 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Times New Roman"/>
          <w:b/>
          <w:sz w:val="26"/>
          <w:szCs w:val="26"/>
        </w:rPr>
        <w:t xml:space="preserve">Дальнереченского муниципального района за </w:t>
      </w:r>
      <w:r>
        <w:rPr>
          <w:rFonts w:cs="Times New Roman"/>
          <w:b/>
          <w:sz w:val="26"/>
          <w:szCs w:val="26"/>
          <w:lang w:val="en-US"/>
        </w:rPr>
        <w:t>I</w:t>
      </w:r>
      <w:r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  <w:lang w:val="ru-RU"/>
        </w:rPr>
        <w:t>полугодие</w:t>
      </w:r>
      <w:r>
        <w:rPr>
          <w:rFonts w:cs="Times New Roman"/>
          <w:b/>
          <w:sz w:val="26"/>
          <w:szCs w:val="26"/>
        </w:rPr>
        <w:t xml:space="preserve"> 2024 года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</w:p>
    <w:p>
      <w:pPr>
        <w:pStyle w:val="Normal"/>
        <w:spacing w:lineRule="auto" w:line="240"/>
        <w:ind w:left="-709" w:right="0" w:hanging="0"/>
        <w:jc w:val="center"/>
        <w:rPr>
          <w:rFonts w:ascii="Times New Roman" w:hAnsi="Times New Roman"/>
        </w:rPr>
      </w:pPr>
      <w:r>
        <w:rPr>
          <w:rFonts w:cs="Times New Roman"/>
          <w:b/>
          <w:sz w:val="26"/>
          <w:szCs w:val="26"/>
        </w:rPr>
        <w:t xml:space="preserve">    </w:t>
      </w:r>
      <w:r>
        <w:rPr>
          <w:rFonts w:cs="Times New Roman"/>
          <w:b/>
          <w:bCs/>
          <w:i w:val="false"/>
          <w:iCs w:val="false"/>
          <w:sz w:val="26"/>
          <w:szCs w:val="26"/>
        </w:rPr>
        <w:t xml:space="preserve">       </w:t>
      </w:r>
      <w:r>
        <w:rPr>
          <w:rFonts w:cs="Times New Roman"/>
          <w:b/>
          <w:bCs/>
          <w:i w:val="false"/>
          <w:iCs w:val="false"/>
          <w:sz w:val="26"/>
          <w:szCs w:val="26"/>
        </w:rPr>
        <w:t>Дернов Виктор Сергеевич – глава Дальнереченского муниципального района</w:t>
      </w:r>
    </w:p>
    <w:p>
      <w:pPr>
        <w:pStyle w:val="Normal"/>
        <w:spacing w:lineRule="auto" w:line="240"/>
        <w:ind w:right="0" w:hanging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</w:p>
    <w:tbl>
      <w:tblPr>
        <w:tblW w:w="11233" w:type="dxa"/>
        <w:jc w:val="left"/>
        <w:tblInd w:w="-7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5951"/>
        <w:gridCol w:w="1184"/>
        <w:gridCol w:w="1250"/>
        <w:gridCol w:w="1083"/>
        <w:gridCol w:w="1082"/>
      </w:tblGrid>
      <w:tr>
        <w:trPr>
          <w:trHeight w:val="1457" w:hRule="atLeast"/>
          <w:cantSplit w:val="true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 </w:t>
            </w:r>
            <w:r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Январь-июнь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к аналог. периоду прошлого 2023 года, %</w:t>
            </w:r>
          </w:p>
        </w:tc>
      </w:tr>
      <w:tr>
        <w:trPr>
          <w:trHeight w:val="232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232" w:hRule="atLeast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Численность населения (на начало отчетного года)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тыс. чел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7,95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7,71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96,9</w:t>
            </w:r>
          </w:p>
        </w:tc>
      </w:tr>
      <w:tr>
        <w:trPr>
          <w:trHeight w:val="232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Численность занятых в экономике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тыс. чел.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3,7*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3,7*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97,3</w:t>
            </w:r>
          </w:p>
        </w:tc>
      </w:tr>
      <w:tr>
        <w:trPr>
          <w:trHeight w:val="232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Площадь территории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кв. км.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7235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7235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100,0</w:t>
            </w:r>
          </w:p>
        </w:tc>
      </w:tr>
      <w:tr>
        <w:trPr>
          <w:trHeight w:val="119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Оборот крупных и средних организаций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млн.руб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26,5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90,6</w:t>
            </w:r>
          </w:p>
        </w:tc>
      </w:tr>
      <w:tr>
        <w:trPr>
          <w:trHeight w:val="232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Доля в обороте организаций края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100</w:t>
            </w:r>
          </w:p>
        </w:tc>
      </w:tr>
      <w:tr>
        <w:trPr>
          <w:trHeight w:val="561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(темп в действующих ценах)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млн.руб.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</w:rPr>
              <w:t>*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</w:rPr>
              <w:t>*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86,0</w:t>
            </w:r>
          </w:p>
        </w:tc>
      </w:tr>
      <w:tr>
        <w:trPr>
          <w:trHeight w:val="122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края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*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*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23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Строительство,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млн.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*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23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Производство продукции сельского хозяйства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млн.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96,1*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100,4*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104,5</w:t>
            </w:r>
          </w:p>
        </w:tc>
      </w:tr>
      <w:tr>
        <w:trPr>
          <w:trHeight w:val="23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Рыболовство, рыбоводство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млн.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23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Лесозаготовки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млн.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202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Оборот розничной торговли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млн.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Оборот общественного питания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млн.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3,9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4,5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106,6</w:t>
            </w:r>
          </w:p>
        </w:tc>
      </w:tr>
      <w:tr>
        <w:trPr>
          <w:trHeight w:val="112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Объем платных услуг населению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млн.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9,4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7,7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75,2</w:t>
            </w:r>
          </w:p>
        </w:tc>
      </w:tr>
      <w:tr>
        <w:trPr>
          <w:trHeight w:val="278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Малый бизнес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278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Малый бизнес, оборот малых предприятий (без учета ИП) (темп роста в действующих ценах)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млн.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Доля малых предприятий (без учета ИП) в числе хозяйствующих субъектов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16,0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15,3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95,6</w:t>
            </w:r>
          </w:p>
        </w:tc>
      </w:tr>
      <w:tr>
        <w:trPr>
          <w:trHeight w:val="278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Количество малых предприятий (без учета ИП)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ед.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102,9</w:t>
            </w:r>
          </w:p>
        </w:tc>
      </w:tr>
      <w:tr>
        <w:trPr>
          <w:trHeight w:val="278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Число индивидуальных предпринимателей (ИП)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чел.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146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162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111,0</w:t>
            </w:r>
          </w:p>
        </w:tc>
      </w:tr>
      <w:tr>
        <w:trPr>
          <w:trHeight w:val="278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Численность занятых в малом бизнесе (без учета ИП)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тыс. чел.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0,15*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0,15*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91,2</w:t>
            </w:r>
          </w:p>
        </w:tc>
      </w:tr>
      <w:tr>
        <w:trPr>
          <w:trHeight w:val="278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Доля занятых в малом бизнесе (без учета ИП) в общей численности занятых в экономике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val="en-US"/>
              </w:rPr>
              <w:t>3,8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val="en-US"/>
              </w:rPr>
              <w:t>3,7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val="en-US"/>
              </w:rPr>
              <w:t>97,4</w:t>
            </w:r>
          </w:p>
        </w:tc>
      </w:tr>
      <w:tr>
        <w:trPr>
          <w:trHeight w:val="278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Социальные индикаторы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</w:r>
          </w:p>
        </w:tc>
      </w:tr>
      <w:tr>
        <w:trPr>
          <w:trHeight w:val="278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47 634,2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60 599,9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127,1</w:t>
            </w:r>
          </w:p>
        </w:tc>
      </w:tr>
      <w:tr>
        <w:trPr>
          <w:trHeight w:val="278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Просроченная задолженность по заработной плате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млн.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нет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Инвестиционное развитие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</w:r>
          </w:p>
        </w:tc>
      </w:tr>
      <w:tr>
        <w:trPr>
          <w:trHeight w:val="278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Объем инвестиций в основной капитал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млн.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Введено жилья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кв. 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358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628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 1,8 р</w:t>
            </w:r>
          </w:p>
        </w:tc>
      </w:tr>
      <w:tr>
        <w:trPr>
          <w:trHeight w:val="278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Обеспеченность жильем на душу населения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кв. 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27,3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28,0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102,6</w:t>
            </w:r>
          </w:p>
        </w:tc>
      </w:tr>
      <w:tr>
        <w:trPr>
          <w:trHeight w:val="296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</w:rPr>
              <w:t>Занятость населения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</w:rPr>
            </w:r>
          </w:p>
        </w:tc>
      </w:tr>
      <w:tr>
        <w:trPr>
          <w:trHeight w:val="23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Уровень зарегистрированной безработицы к экономически активному населению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 xml:space="preserve"> </w:t>
            </w:r>
            <w:r>
              <w:rPr>
                <w:bCs/>
                <w:sz w:val="24"/>
                <w:szCs w:val="24"/>
                <w:shd w:fill="auto" w:val="clear"/>
              </w:rPr>
              <w:t>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2,5*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2,1*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338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Нагрузка незанятого населения на 100 заявленных вакансий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 xml:space="preserve"> </w:t>
            </w:r>
            <w:r>
              <w:rPr>
                <w:bCs/>
                <w:sz w:val="24"/>
                <w:szCs w:val="24"/>
                <w:shd w:fill="auto" w:val="clear"/>
              </w:rPr>
              <w:t>чел.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173,9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80,8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zCs w:val="24"/>
                <w:shd w:fill="auto" w:val="clear"/>
              </w:rPr>
              <w:t>46,5</w:t>
            </w:r>
          </w:p>
        </w:tc>
      </w:tr>
    </w:tbl>
    <w:p>
      <w:pPr>
        <w:pStyle w:val="Normal"/>
        <w:spacing w:lineRule="auto" w:line="240" w:before="0" w:after="0"/>
        <w:ind w:left="-426" w:right="0" w:hanging="0"/>
        <w:contextualSpacing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left="-426" w:right="0" w:hanging="0"/>
        <w:contextualSpacing/>
        <w:rPr>
          <w:rFonts w:ascii="Times New Roman" w:hAnsi="Times New Roman"/>
        </w:rPr>
      </w:pPr>
      <w:r>
        <w:rPr>
          <w:rFonts w:eastAsia="Times New Roman CYR"/>
          <w:sz w:val="16"/>
          <w:szCs w:val="16"/>
        </w:rPr>
        <w:t xml:space="preserve">  </w:t>
      </w:r>
      <w:r>
        <w:rPr>
          <w:sz w:val="16"/>
          <w:szCs w:val="16"/>
        </w:rPr>
        <w:t>* - строки со звездочками – органы государственной статистики не ведут счет данных показателей в разрезе муниципальных образований</w:t>
      </w:r>
    </w:p>
    <w:p>
      <w:pPr>
        <w:pStyle w:val="Normal"/>
        <w:spacing w:lineRule="auto" w:line="240" w:before="0" w:after="0"/>
        <w:ind w:left="-567" w:right="0" w:hanging="0"/>
        <w:contextualSpacing/>
        <w:rPr>
          <w:rFonts w:ascii="Times New Roman" w:hAnsi="Times New Roman"/>
        </w:rPr>
      </w:pPr>
      <w:r>
        <w:rPr>
          <w:rFonts w:eastAsia="Times New Roman CYR"/>
          <w:sz w:val="16"/>
          <w:szCs w:val="16"/>
        </w:rPr>
        <w:t xml:space="preserve">      </w:t>
      </w:r>
      <w:r>
        <w:rPr>
          <w:sz w:val="16"/>
          <w:szCs w:val="16"/>
        </w:rPr>
        <w:t>Цифра* - проставлены оценочные данные исходя из прошлых периодов, так как органы государственной статистики не ведут счет данных показателей.</w:t>
      </w:r>
    </w:p>
    <w:p>
      <w:pPr>
        <w:pStyle w:val="Normal"/>
        <w:spacing w:lineRule="auto" w:line="240" w:before="0" w:after="0"/>
        <w:ind w:left="-567" w:right="0" w:firstLine="567"/>
        <w:contextualSpacing/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  <w:shd w:fill="auto" w:val="clear"/>
        </w:rPr>
        <w:t xml:space="preserve">                        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fill="auto" w:val="clear"/>
        </w:rPr>
        <w:t xml:space="preserve">Демографическая ситуация. </w:t>
      </w:r>
      <w:r>
        <w:rPr>
          <w:b w:val="false"/>
          <w:bCs w:val="false"/>
          <w:sz w:val="28"/>
          <w:szCs w:val="28"/>
          <w:shd w:fill="auto" w:val="clear"/>
        </w:rPr>
        <w:t>Численность населения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</w:t>
      </w:r>
      <w:r>
        <w:rPr>
          <w:color w:val="000000"/>
          <w:sz w:val="28"/>
          <w:szCs w:val="28"/>
          <w:shd w:fill="auto" w:val="clear"/>
        </w:rPr>
        <w:t>на 01.06.2024 года составляет - 7 706 человек (9</w:t>
      </w:r>
      <w:r>
        <w:rPr>
          <w:color w:val="000000"/>
          <w:sz w:val="28"/>
          <w:szCs w:val="28"/>
          <w:shd w:fill="auto" w:val="clear"/>
        </w:rPr>
        <w:t>8</w:t>
      </w:r>
      <w:r>
        <w:rPr>
          <w:color w:val="000000"/>
          <w:sz w:val="28"/>
          <w:szCs w:val="28"/>
          <w:shd w:fill="auto" w:val="clear"/>
        </w:rPr>
        <w:t xml:space="preserve">,9%  к </w:t>
      </w:r>
      <w:r>
        <w:rPr>
          <w:color w:val="000000" w:themeColor="text1"/>
          <w:sz w:val="28"/>
          <w:szCs w:val="28"/>
          <w:shd w:fill="auto" w:val="clear"/>
        </w:rPr>
        <w:t>01.01.2024 года</w:t>
      </w:r>
      <w:r>
        <w:rPr>
          <w:color w:val="000000"/>
          <w:sz w:val="28"/>
          <w:szCs w:val="28"/>
          <w:shd w:fill="auto" w:val="clear"/>
        </w:rPr>
        <w:t>).</w:t>
      </w:r>
      <w:r>
        <w:rPr>
          <w:sz w:val="28"/>
          <w:szCs w:val="28"/>
          <w:shd w:fill="auto" w:val="clear"/>
        </w:rPr>
        <w:t xml:space="preserve"> Наблюдается снижение численности за счет естественной убыли населения </w:t>
      </w:r>
      <w:r>
        <w:rPr>
          <w:sz w:val="28"/>
          <w:szCs w:val="28"/>
          <w:shd w:fill="auto" w:val="clear"/>
        </w:rPr>
        <w:t>на 87</w:t>
      </w:r>
      <w:r>
        <w:rPr>
          <w:sz w:val="28"/>
          <w:szCs w:val="28"/>
          <w:shd w:fill="auto" w:val="clear"/>
        </w:rPr>
        <w:t xml:space="preserve"> человека </w:t>
      </w:r>
      <w:r>
        <w:rPr>
          <w:sz w:val="28"/>
          <w:szCs w:val="28"/>
          <w:shd w:fill="auto" w:val="clear"/>
        </w:rPr>
        <w:t>к началу 2024 года</w:t>
      </w:r>
      <w:r>
        <w:rPr>
          <w:sz w:val="28"/>
          <w:szCs w:val="28"/>
          <w:shd w:fill="auto" w:val="clear"/>
        </w:rPr>
        <w:t xml:space="preserve">. 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fill="auto" w:val="clear"/>
        </w:rPr>
        <w:t xml:space="preserve">Оборот общественного питания </w:t>
      </w:r>
      <w:r>
        <w:rPr>
          <w:sz w:val="28"/>
          <w:szCs w:val="28"/>
          <w:shd w:fill="auto" w:val="clear"/>
        </w:rPr>
        <w:t xml:space="preserve"> составил  </w:t>
      </w:r>
      <w:r>
        <w:rPr>
          <w:sz w:val="28"/>
          <w:szCs w:val="28"/>
          <w:shd w:fill="auto" w:val="clear"/>
        </w:rPr>
        <w:t>4,5</w:t>
      </w:r>
      <w:r>
        <w:rPr>
          <w:sz w:val="28"/>
          <w:szCs w:val="28"/>
          <w:shd w:fill="auto" w:val="clear"/>
        </w:rPr>
        <w:t xml:space="preserve"> млн.руб. (</w:t>
      </w:r>
      <w:r>
        <w:rPr>
          <w:sz w:val="28"/>
          <w:szCs w:val="28"/>
          <w:shd w:fill="auto" w:val="clear"/>
        </w:rPr>
        <w:t>106,6</w:t>
      </w:r>
      <w:r>
        <w:rPr>
          <w:sz w:val="28"/>
          <w:szCs w:val="28"/>
          <w:shd w:fill="auto" w:val="clear"/>
        </w:rPr>
        <w:t xml:space="preserve">% </w:t>
      </w:r>
      <w:r>
        <w:rPr>
          <w:sz w:val="28"/>
          <w:szCs w:val="28"/>
          <w:shd w:fill="auto" w:val="clear"/>
        </w:rPr>
        <w:t>аналогичному периоду</w:t>
      </w:r>
      <w:r>
        <w:rPr>
          <w:sz w:val="28"/>
          <w:szCs w:val="28"/>
          <w:shd w:fill="auto" w:val="clear"/>
        </w:rPr>
        <w:t xml:space="preserve"> 2023 года).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Объем отгруженных товаров</w:t>
      </w:r>
      <w:r>
        <w:rPr>
          <w:sz w:val="28"/>
          <w:szCs w:val="28"/>
          <w:shd w:fill="auto" w:val="clear"/>
        </w:rPr>
        <w:t xml:space="preserve"> составил 8</w:t>
      </w:r>
      <w:r>
        <w:rPr>
          <w:sz w:val="28"/>
          <w:szCs w:val="28"/>
          <w:shd w:fill="auto" w:val="clear"/>
        </w:rPr>
        <w:t>6,0</w:t>
      </w:r>
      <w:r>
        <w:rPr>
          <w:sz w:val="28"/>
          <w:szCs w:val="28"/>
          <w:shd w:fill="auto" w:val="clear"/>
        </w:rPr>
        <w:t xml:space="preserve"> % к январю-</w:t>
      </w:r>
      <w:r>
        <w:rPr>
          <w:sz w:val="28"/>
          <w:szCs w:val="28"/>
          <w:shd w:fill="auto" w:val="clear"/>
        </w:rPr>
        <w:t>июню</w:t>
      </w:r>
      <w:r>
        <w:rPr>
          <w:sz w:val="28"/>
          <w:szCs w:val="28"/>
          <w:shd w:fill="auto" w:val="clear"/>
        </w:rPr>
        <w:t xml:space="preserve"> 2023 года. 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Объем платных услуг</w:t>
      </w:r>
      <w:r>
        <w:rPr>
          <w:sz w:val="28"/>
          <w:szCs w:val="28"/>
          <w:shd w:fill="auto" w:val="clear"/>
        </w:rPr>
        <w:t xml:space="preserve"> оказываемых населению составил </w:t>
      </w:r>
      <w:r>
        <w:rPr>
          <w:sz w:val="28"/>
          <w:szCs w:val="28"/>
          <w:shd w:fill="auto" w:val="clear"/>
        </w:rPr>
        <w:t>7,7</w:t>
      </w:r>
      <w:r>
        <w:rPr>
          <w:sz w:val="28"/>
          <w:szCs w:val="28"/>
          <w:shd w:fill="auto" w:val="clear"/>
        </w:rPr>
        <w:t xml:space="preserve"> млн. руб. (</w:t>
      </w:r>
      <w:r>
        <w:rPr>
          <w:sz w:val="28"/>
          <w:szCs w:val="28"/>
          <w:shd w:fill="auto" w:val="clear"/>
        </w:rPr>
        <w:t>75,2</w:t>
      </w:r>
      <w:r>
        <w:rPr>
          <w:sz w:val="28"/>
          <w:szCs w:val="28"/>
          <w:shd w:fill="auto" w:val="clear"/>
        </w:rPr>
        <w:t>% к январю-</w:t>
      </w:r>
      <w:r>
        <w:rPr>
          <w:sz w:val="28"/>
          <w:szCs w:val="28"/>
          <w:shd w:fill="auto" w:val="clear"/>
        </w:rPr>
        <w:t>июню</w:t>
      </w:r>
      <w:r>
        <w:rPr>
          <w:sz w:val="28"/>
          <w:szCs w:val="28"/>
          <w:shd w:fill="auto" w:val="clear"/>
        </w:rPr>
        <w:t xml:space="preserve"> 2023 года).</w:t>
      </w:r>
    </w:p>
    <w:p>
      <w:pPr>
        <w:pStyle w:val="Normal"/>
        <w:widowControl w:val="false"/>
        <w:snapToGrid w:val="false"/>
        <w:spacing w:lineRule="auto" w:line="240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rFonts w:cs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eastAsia="ru-RU"/>
        </w:rPr>
        <w:t>Количество малых предприятий</w:t>
      </w:r>
      <w:r>
        <w:rPr>
          <w:rFonts w:cs="Times New Roman"/>
          <w:b/>
          <w:bCs/>
          <w:color w:val="000000"/>
          <w:sz w:val="28"/>
          <w:szCs w:val="28"/>
          <w:shd w:fill="auto" w:val="clear"/>
          <w:lang w:eastAsia="ru-RU"/>
        </w:rPr>
        <w:t xml:space="preserve"> 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составило 3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5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ед, 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увеличилось на 2%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по отношению к соответствующему периоду прошлого года, </w:t>
      </w:r>
      <w:r>
        <w:rPr>
          <w:rFonts w:cs="Times New Roman"/>
          <w:b/>
          <w:bCs/>
          <w:color w:val="000000"/>
          <w:sz w:val="28"/>
          <w:szCs w:val="28"/>
          <w:shd w:fill="auto" w:val="clear"/>
          <w:lang w:eastAsia="ru-RU"/>
        </w:rPr>
        <w:t>количество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shd w:fill="auto" w:val="clear"/>
          <w:lang w:eastAsia="ru-RU"/>
        </w:rPr>
        <w:t xml:space="preserve"> индивидуальных предпринимателей 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увеличилось на 1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6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ед.  Составило 1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62 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ед. 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и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ли 1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11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%  у уровню аналогичного периода 2023 года.</w:t>
      </w:r>
    </w:p>
    <w:p>
      <w:pPr>
        <w:pStyle w:val="2777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 </w:t>
      </w:r>
      <w:r>
        <w:rPr>
          <w:b/>
          <w:bCs/>
          <w:color w:val="000000"/>
          <w:sz w:val="28"/>
          <w:szCs w:val="28"/>
          <w:shd w:fill="auto" w:val="clear"/>
        </w:rPr>
        <w:t>Среднемесячная заработная плата работников крупных и средних организаций</w:t>
      </w:r>
      <w:r>
        <w:rPr>
          <w:color w:val="000000"/>
          <w:sz w:val="28"/>
          <w:szCs w:val="28"/>
          <w:shd w:fill="auto" w:val="clear"/>
        </w:rPr>
        <w:t xml:space="preserve"> за январь-</w:t>
      </w:r>
      <w:r>
        <w:rPr>
          <w:color w:val="000000"/>
          <w:sz w:val="28"/>
          <w:szCs w:val="28"/>
          <w:shd w:fill="auto" w:val="clear"/>
        </w:rPr>
        <w:t>июнь</w:t>
      </w:r>
      <w:r>
        <w:rPr>
          <w:color w:val="000000"/>
          <w:sz w:val="28"/>
          <w:szCs w:val="28"/>
          <w:shd w:fill="auto" w:val="clear"/>
        </w:rPr>
        <w:t xml:space="preserve"> 2024 года составила </w:t>
      </w:r>
      <w:r>
        <w:rPr>
          <w:color w:val="000000"/>
          <w:sz w:val="28"/>
          <w:szCs w:val="28"/>
          <w:shd w:fill="auto" w:val="clear"/>
        </w:rPr>
        <w:t>60 599,9</w:t>
      </w:r>
      <w:r>
        <w:rPr>
          <w:color w:val="000000"/>
          <w:sz w:val="28"/>
          <w:szCs w:val="28"/>
          <w:shd w:fill="auto" w:val="clear"/>
        </w:rPr>
        <w:t>5 руб. (1</w:t>
      </w:r>
      <w:r>
        <w:rPr>
          <w:color w:val="000000"/>
          <w:sz w:val="28"/>
          <w:szCs w:val="28"/>
          <w:shd w:fill="auto" w:val="clear"/>
        </w:rPr>
        <w:t>27,2</w:t>
      </w:r>
      <w:r>
        <w:rPr>
          <w:color w:val="000000"/>
          <w:sz w:val="28"/>
          <w:szCs w:val="28"/>
          <w:shd w:fill="auto" w:val="clear"/>
        </w:rPr>
        <w:t>,1% к январю-</w:t>
      </w:r>
      <w:r>
        <w:rPr>
          <w:color w:val="000000"/>
          <w:sz w:val="28"/>
          <w:szCs w:val="28"/>
          <w:shd w:fill="auto" w:val="clear"/>
        </w:rPr>
        <w:t>июню</w:t>
      </w:r>
      <w:r>
        <w:rPr>
          <w:color w:val="000000"/>
          <w:sz w:val="28"/>
          <w:szCs w:val="28"/>
          <w:shd w:fill="auto" w:val="clear"/>
        </w:rPr>
        <w:t xml:space="preserve"> 2023 года), 6</w:t>
      </w:r>
      <w:r>
        <w:rPr>
          <w:color w:val="000000"/>
          <w:sz w:val="28"/>
          <w:szCs w:val="28"/>
          <w:shd w:fill="auto" w:val="clear"/>
        </w:rPr>
        <w:t>5</w:t>
      </w:r>
      <w:r>
        <w:rPr>
          <w:color w:val="000000"/>
          <w:sz w:val="28"/>
          <w:szCs w:val="28"/>
          <w:shd w:fill="auto" w:val="clear"/>
        </w:rPr>
        <w:t>% от среднекраевого значения. По состоянию  на 01.0</w:t>
      </w:r>
      <w:r>
        <w:rPr>
          <w:color w:val="000000"/>
          <w:sz w:val="28"/>
          <w:szCs w:val="28"/>
          <w:shd w:fill="auto" w:val="clear"/>
        </w:rPr>
        <w:t>7</w:t>
      </w:r>
      <w:r>
        <w:rPr>
          <w:color w:val="000000"/>
          <w:sz w:val="28"/>
          <w:szCs w:val="28"/>
          <w:shd w:fill="auto" w:val="clear"/>
        </w:rPr>
        <w:t>.2024 года п</w:t>
      </w:r>
      <w:r>
        <w:rPr>
          <w:b/>
          <w:bCs/>
          <w:sz w:val="28"/>
          <w:szCs w:val="28"/>
          <w:shd w:fill="auto" w:val="clear"/>
        </w:rPr>
        <w:t>росроченной задолженности по заработной плате</w:t>
      </w:r>
      <w:r>
        <w:rPr>
          <w:color w:val="000000"/>
          <w:sz w:val="28"/>
          <w:szCs w:val="28"/>
          <w:shd w:fill="auto" w:val="clear"/>
        </w:rPr>
        <w:t xml:space="preserve"> не имеется.</w:t>
      </w:r>
    </w:p>
    <w:p>
      <w:pPr>
        <w:pStyle w:val="ConsNonformat"/>
        <w:widowControl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За отчетный период</w:t>
      </w: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 xml:space="preserve"> введено в действие жилых домов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628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кв.м.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или в1,8 раз больше к январю-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июню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2023 года, </w:t>
      </w:r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  <w:t xml:space="preserve">построено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6 квартир, что в 2 раза больше  к январю-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июню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2023 года.</w:t>
      </w:r>
    </w:p>
    <w:p>
      <w:pPr>
        <w:pStyle w:val="ConsNonformat"/>
        <w:widowControl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color w:val="000000" w:themeColor="text1"/>
          <w:sz w:val="28"/>
          <w:szCs w:val="28"/>
          <w:shd w:fill="auto" w:val="clear"/>
        </w:rPr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:shd w:fill="auto" w:val="clear"/>
        </w:rPr>
        <w:t>1. Краткая характеристика экономики муниципального образования</w:t>
      </w:r>
    </w:p>
    <w:p>
      <w:pPr>
        <w:pStyle w:val="Normal"/>
        <w:tabs>
          <w:tab w:val="clear" w:pos="204"/>
          <w:tab w:val="left" w:pos="2590" w:leader="none"/>
        </w:tabs>
        <w:suppressAutoHyphens w:val="fals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В статистическом регистре на 01.04.2024 года на территории Дальнереченского муниципального района учтено 65 юридических лица (больше на 2 субъекта по сравнению с аналогичным периодом 2023 г. или на 3%) и 154 индивидуальных предпринимателя (больше на 4 субъекта по сравнению с аналогичным периодом 2023 г. или на 9,2%).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fill="auto" w:val="clear"/>
        </w:rPr>
        <w:t xml:space="preserve">1.1. </w:t>
      </w:r>
      <w:r>
        <w:rPr>
          <w:b/>
          <w:bCs/>
          <w:color w:val="000000" w:themeColor="text1"/>
          <w:sz w:val="28"/>
          <w:szCs w:val="28"/>
          <w:shd w:fill="auto" w:val="clear"/>
        </w:rPr>
        <w:t>Основные отрасли экономики</w:t>
      </w:r>
    </w:p>
    <w:p>
      <w:pPr>
        <w:pStyle w:val="Normal"/>
        <w:widowControl/>
        <w:suppressAutoHyphens w:val="fals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fill="auto" w:val="clear"/>
          <w:lang w:eastAsia="ru-RU"/>
        </w:rPr>
        <w:t>По видам экономической деятельности хозяйствующие субъекты распределяются: сельское и лесное хозяйство -  65 ед., торговля,  ремонт автотранспортных средств и мотоциклов  - 69 ед., строительство -19 ед., транспортировка и хранение  - 14 ед.,  обрабатывающее производство - 9 ед., прочие виду услуг  - 53 ед.</w:t>
      </w:r>
    </w:p>
    <w:p>
      <w:pPr>
        <w:pStyle w:val="Normal"/>
        <w:widowControl/>
        <w:suppressAutoHyphens w:val="fals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Из общего оборота малых предприятий наибольшую долю занимает оборот предприятий оптовой и розничной торговли, сельского хозяйства.</w:t>
      </w:r>
    </w:p>
    <w:p>
      <w:pPr>
        <w:pStyle w:val="Normal"/>
        <w:widowControl/>
        <w:suppressAutoHyphens w:val="fals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  <w:lang w:eastAsia="zh-CN"/>
        </w:rPr>
        <w:t xml:space="preserve">Оборот общественного питания составил 4,5 млн. руб., увеличение к соответствующему периоду прошлого года на 6,6%. </w:t>
      </w:r>
    </w:p>
    <w:p>
      <w:pPr>
        <w:pStyle w:val="Normal"/>
        <w:widowControl/>
        <w:tabs>
          <w:tab w:val="clear" w:pos="204"/>
          <w:tab w:val="left" w:pos="2590" w:leader="none"/>
        </w:tabs>
        <w:suppressAutoHyphens w:val="false"/>
        <w:overflowPunct w:val="true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По организационно-правовым формам юридические лица распределились следующим образом: коммерческие - 31/46%, некоммерческие — 36/54%, в т. ч. муниципальная - 30/45%.</w:t>
      </w:r>
    </w:p>
    <w:p>
      <w:pPr>
        <w:pStyle w:val="Normal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BodyText2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fill="auto" w:val="clear"/>
        </w:rPr>
        <w:t>1.2. Бюджет</w:t>
      </w:r>
    </w:p>
    <w:p>
      <w:pPr>
        <w:pStyle w:val="Normal"/>
        <w:widowControl/>
        <w:shd w:val="clear" w:fill="FFFFFF"/>
        <w:tabs>
          <w:tab w:val="clear" w:pos="204"/>
          <w:tab w:val="left" w:pos="5184" w:leader="none"/>
          <w:tab w:val="left" w:pos="9498" w:leader="none"/>
          <w:tab w:val="left" w:pos="9639" w:leader="none"/>
          <w:tab w:val="left" w:pos="10065" w:leader="none"/>
        </w:tabs>
        <w:suppressAutoHyphens w:val="fals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sz w:val="28"/>
          <w:szCs w:val="28"/>
        </w:rPr>
      </w:pPr>
      <w:r>
        <w:rPr>
          <w:rFonts w:cs="Times New Roman"/>
          <w:spacing w:val="-2"/>
          <w:sz w:val="28"/>
          <w:szCs w:val="28"/>
          <w:shd w:fill="auto" w:val="clear"/>
        </w:rPr>
        <w:t xml:space="preserve">По данным отчета об исполнении консолидированного бюджета района </w:t>
      </w:r>
      <w:r>
        <w:rPr>
          <w:rFonts w:cs="Times New Roman"/>
          <w:sz w:val="28"/>
          <w:szCs w:val="28"/>
          <w:shd w:fill="auto" w:val="clear"/>
        </w:rPr>
        <w:t>уточненный план по доходам составил 712 984,53 тыс.руб., при этом поступило доходов в сумме 385 107,07 тыс.руб. или 54,01% к плановым назначениям</w:t>
      </w:r>
      <w:r>
        <w:rPr>
          <w:rFonts w:cs="Times New Roman"/>
          <w:spacing w:val="-5"/>
          <w:sz w:val="28"/>
          <w:szCs w:val="28"/>
          <w:shd w:fill="auto" w:val="clear"/>
        </w:rPr>
        <w:t xml:space="preserve">. </w:t>
      </w:r>
    </w:p>
    <w:p>
      <w:pPr>
        <w:pStyle w:val="Normal"/>
        <w:widowControl/>
        <w:tabs>
          <w:tab w:val="clear" w:pos="204"/>
          <w:tab w:val="left" w:pos="540" w:leader="none"/>
        </w:tabs>
        <w:suppressAutoHyphens w:val="false"/>
        <w:overflowPunct w:val="true"/>
        <w:bidi w:val="0"/>
        <w:spacing w:lineRule="auto" w:line="240" w:before="0" w:after="0"/>
        <w:ind w:left="0" w:right="0" w:firstLine="51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shd w:fill="auto" w:val="clear"/>
        </w:rPr>
        <w:t xml:space="preserve">Бюджетные назначения налоговых и неналоговых доходов </w:t>
      </w:r>
      <w:r>
        <w:rPr>
          <w:rFonts w:cs="Times New Roman"/>
          <w:spacing w:val="-2"/>
          <w:sz w:val="28"/>
          <w:szCs w:val="28"/>
          <w:shd w:fill="auto" w:val="clear"/>
        </w:rPr>
        <w:t>за отчетный период выполнены на 78,35%, при плане 113 325,63 тыс.руб. в бюджет поступило 88 790,37 тыс.руб., в том числе по видам доходов:</w:t>
      </w:r>
    </w:p>
    <w:p>
      <w:pPr>
        <w:pStyle w:val="Normal"/>
        <w:widowControl/>
        <w:tabs>
          <w:tab w:val="clear" w:pos="204"/>
          <w:tab w:val="left" w:pos="1005" w:leader="none"/>
        </w:tabs>
        <w:suppressAutoHyphens w:val="false"/>
        <w:overflowPunct w:val="true"/>
        <w:bidi w:val="0"/>
        <w:spacing w:lineRule="auto" w:line="240" w:before="0" w:after="0"/>
        <w:ind w:left="0" w:right="0" w:firstLine="510"/>
        <w:jc w:val="both"/>
        <w:rPr>
          <w:sz w:val="28"/>
          <w:szCs w:val="28"/>
        </w:rPr>
      </w:pPr>
      <w:r>
        <w:rPr>
          <w:rFonts w:cs="Times New Roman"/>
          <w:spacing w:val="-2"/>
          <w:sz w:val="28"/>
          <w:szCs w:val="28"/>
          <w:shd w:fill="auto" w:val="clear"/>
        </w:rPr>
        <w:t>- налоговые доходы – 74 182,11 тыс.руб. или 83,55% от суммы поступивших доходов;</w:t>
      </w:r>
    </w:p>
    <w:p>
      <w:pPr>
        <w:pStyle w:val="Normal"/>
        <w:widowControl/>
        <w:tabs>
          <w:tab w:val="clear" w:pos="204"/>
          <w:tab w:val="left" w:pos="1005" w:leader="none"/>
        </w:tabs>
        <w:suppressAutoHyphens w:val="false"/>
        <w:overflowPunct w:val="true"/>
        <w:bidi w:val="0"/>
        <w:spacing w:lineRule="auto" w:line="240" w:before="0" w:after="0"/>
        <w:ind w:left="0" w:right="0" w:firstLine="510"/>
        <w:jc w:val="both"/>
        <w:rPr>
          <w:sz w:val="28"/>
          <w:szCs w:val="28"/>
        </w:rPr>
      </w:pPr>
      <w:r>
        <w:rPr>
          <w:rFonts w:cs="Times New Roman"/>
          <w:spacing w:val="-2"/>
          <w:sz w:val="28"/>
          <w:szCs w:val="28"/>
          <w:shd w:fill="auto" w:val="clear"/>
        </w:rPr>
        <w:t>- неналоговые доходы – 14 608,26 тыс.руб. или 16,45% поступлений налоговых и неналоговых доходов.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b w:val="false"/>
          <w:spacing w:val="-5"/>
          <w:sz w:val="28"/>
          <w:szCs w:val="28"/>
          <w:shd w:fill="auto" w:val="clear"/>
          <w:lang w:eastAsia="zh-CN"/>
        </w:rPr>
        <w:t xml:space="preserve">Безвозмездные поступления из краевого бюджета по плану составили 599 658,89 тыс.руб., фактически в консолидированный бюджет района поступило 296 316,70 тыс.руб. или 49,41% к плановым назначениям. Относительно общей суммы доходов консолидированного бюджета района безвозмездные перечисления составили 76,94%. </w:t>
      </w:r>
      <w:r>
        <w:rPr>
          <w:rFonts w:cs="Times New Roman CYR"/>
          <w:b w:val="false"/>
          <w:spacing w:val="-5"/>
          <w:sz w:val="28"/>
          <w:szCs w:val="28"/>
          <w:shd w:fill="auto" w:val="clear"/>
          <w:lang w:eastAsia="zh-CN"/>
        </w:rPr>
        <w:t xml:space="preserve">в консолидированного бюджета района безвозмездные перечисления составили 76,79%. </w:t>
      </w:r>
    </w:p>
    <w:p>
      <w:pPr>
        <w:pStyle w:val="Normal"/>
        <w:widowControl/>
        <w:suppressAutoHyphens w:val="false"/>
        <w:overflowPunct w:val="true"/>
        <w:bidi w:val="0"/>
        <w:spacing w:lineRule="auto" w:line="240" w:before="0" w:after="0"/>
        <w:ind w:left="0" w:right="0" w:firstLine="567"/>
        <w:contextualSpacing/>
        <w:jc w:val="both"/>
        <w:rPr>
          <w:sz w:val="28"/>
          <w:szCs w:val="28"/>
        </w:rPr>
      </w:pPr>
      <w:r>
        <w:rPr>
          <w:rFonts w:cs="Times New Roman"/>
          <w:b w:val="false"/>
          <w:spacing w:val="-5"/>
          <w:sz w:val="28"/>
          <w:szCs w:val="28"/>
          <w:shd w:fill="auto" w:val="clear"/>
          <w:lang w:eastAsia="zh-CN"/>
        </w:rPr>
        <w:t xml:space="preserve">При исполнении консолидированного бюджета в отчетном периоде расходы социальной направленности составили 76,4%, в том числе на образование 66,3%. На национальную экономику и ЖКХ было направлено ассигнований 8,37% консолидированного бюджета. 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fill="auto" w:val="clear"/>
          <w:lang w:eastAsia="zh-CN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fill="auto" w:val="clear"/>
        </w:rPr>
        <w:t>1.3. Характеристика ситуации района</w:t>
      </w:r>
    </w:p>
    <w:p>
      <w:pPr>
        <w:pStyle w:val="Normal"/>
        <w:widowControl/>
        <w:suppressAutoHyphens w:val="false"/>
        <w:overflowPunct w:val="true"/>
        <w:bidi w:val="0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 xml:space="preserve">Численность населения Дальнереченского муниципального района на 01.06.2024 года составляет –  7 706 человек (96,9%  к аналогичному периоду </w:t>
      </w:r>
      <w:r>
        <w:rPr>
          <w:color w:val="000000" w:themeColor="text1"/>
          <w:sz w:val="28"/>
          <w:szCs w:val="28"/>
          <w:shd w:fill="auto" w:val="clear"/>
        </w:rPr>
        <w:t>2024 года</w:t>
      </w:r>
      <w:r>
        <w:rPr>
          <w:color w:val="000000"/>
          <w:sz w:val="28"/>
          <w:szCs w:val="28"/>
          <w:shd w:fill="auto" w:val="clear"/>
        </w:rPr>
        <w:t xml:space="preserve">). Снижение  численности наблюдается за счет естественной  убыли населения –  54 чел и миграционной убыли –   33 чел.  На демографическую ситуацию большое влияние миграционный оказывает отток населения: так число прибывших составило 76 чел., а  число убывших – 109 чел. Миграционный отток населения, вызванный экономическими факторами, сказывается и на сокращении численности работников на предприятиях района. </w:t>
      </w:r>
    </w:p>
    <w:p>
      <w:pPr>
        <w:pStyle w:val="Normal"/>
        <w:spacing w:lineRule="auto" w:line="240" w:beforeAutospacing="0" w:before="0" w:afterAutospacing="0" w:after="0"/>
        <w:ind w:left="0" w:righ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 xml:space="preserve">Объем отгруженных товаров собственного производства, выполнено работ и услуг собственными силами по всем видам деятельности (в действующих ценах)  к  аналогичному  периоду 2023 года составил 86 %, производство тепловой энергии составило 87,7%, электроэнергии -93,5%. </w:t>
      </w:r>
    </w:p>
    <w:p>
      <w:pPr>
        <w:pStyle w:val="Normal"/>
        <w:widowControl/>
        <w:tabs>
          <w:tab w:val="clear" w:pos="204"/>
          <w:tab w:val="left" w:pos="50" w:leader="none"/>
          <w:tab w:val="left" w:pos="683" w:leader="none"/>
        </w:tabs>
        <w:suppressAutoHyphens w:val="false"/>
        <w:overflowPunct w:val="true"/>
        <w:bidi w:val="0"/>
        <w:spacing w:lineRule="auto" w:line="240" w:beforeAutospacing="0" w:before="0" w:afterAutospacing="0" w:after="0"/>
        <w:ind w:left="0" w:right="0" w:firstLine="567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По состоянию на 01.07.2024 года на территории муниципального района работало 2 мини–пекарни. Выработано продукции предприятиями хлебопекарной отрасли 111,9 тонн, что больше на 0,1%, чем произведено в соответствующем периоде прошлого года. Потребность в хлебе населения района и муниципальных организаций обеспечена за счет поставок монополиста отрасли хлебопечения - ООО «Пекарь», а также за счет ввоза из других районов кра</w:t>
      </w:r>
    </w:p>
    <w:p>
      <w:pPr>
        <w:pStyle w:val="Normal"/>
        <w:widowControl/>
        <w:suppressAutoHyphens w:val="false"/>
        <w:overflowPunct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Выпуск продукции сельского хозяйства в хозяйствах всех категорий в первом полугодии 2024 года по оценочным данным составил 100,4 млн. руб. В 2024 году общая посевная площадь района составила 13 853 га, что на 3 800 га меньше аналогичного периода прошлого года или на 21,5%. За первое полугодие 2024 года на территории района посеяно: сои - 12 149 га; картофеля - 12 га; кукурузы - 1 270 га; овощи - 21 га;  бахчи -  11 га; ранних зерновых культур 400 га, из них: овес - 370 га; пшеница - 20 га; ячмень - 10 га.</w:t>
      </w:r>
    </w:p>
    <w:p>
      <w:pPr>
        <w:pStyle w:val="Normal"/>
        <w:widowControl/>
        <w:suppressAutoHyphens w:val="fals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  <w:lang w:eastAsia="zh-CN"/>
        </w:rPr>
        <w:t xml:space="preserve">Оборот общественного питания составил 4,5 млн. руб., увеличение к соответствующему периоду прошлого года на 6,6%. 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fill="auto" w:val="clear"/>
          <w:lang w:eastAsia="ru-RU"/>
        </w:rPr>
        <w:t xml:space="preserve">Объем платных услуг, оказываемых населению за январь - июнь 2024 года составил 7,7 млн. руб., в сопоставимых ценах ниже против соответствующего периода прошлого года на 24,8%. </w:t>
      </w:r>
      <w:r>
        <w:rPr>
          <w:sz w:val="28"/>
          <w:szCs w:val="28"/>
          <w:shd w:fill="auto" w:val="clear"/>
        </w:rPr>
        <w:t xml:space="preserve">Уменьшение объема платных услуг произошло из-за  уменьшения  численности детей в общеобразовательных учреждениях. </w:t>
      </w:r>
    </w:p>
    <w:p>
      <w:pPr>
        <w:pStyle w:val="ConsNonformat"/>
        <w:widowControl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color w:val="000000" w:themeColor="text1"/>
          <w:sz w:val="28"/>
          <w:szCs w:val="28"/>
          <w:shd w:fill="auto" w:val="clear"/>
        </w:rPr>
      </w:r>
    </w:p>
    <w:p>
      <w:pPr>
        <w:pStyle w:val="BodyText2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fill="auto" w:val="clear"/>
        </w:rPr>
        <w:t>1.4. Меры поддержки.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 xml:space="preserve">В целях создания условия для развития малого и среднего предпринимательства на территории Дальнереченского муниципального района  постановлением администрации от 23.10.2017 № 524-па была утверждена муниципальная  программа «Развитие предпринимательства в Дальнереченском муниципальном районе на 2020 - 2026 годы». В рамках данной программы субъектам МСП и самозанятым гражданам предусмотрены мероприятия по оказанию финансовой, информационной, консультационной поддержки. 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 xml:space="preserve">При главе администрации Дальнереченского муниципального района во 2 квартале </w:t>
      </w:r>
      <w:r>
        <w:rPr>
          <w:color w:val="000000"/>
          <w:sz w:val="28"/>
          <w:szCs w:val="28"/>
          <w:shd w:fill="auto" w:val="clear"/>
        </w:rPr>
        <w:t>2024 года</w:t>
      </w:r>
      <w:r>
        <w:rPr>
          <w:color w:val="000000"/>
          <w:sz w:val="28"/>
          <w:szCs w:val="28"/>
          <w:shd w:fill="auto" w:val="clear"/>
        </w:rPr>
        <w:t xml:space="preserve"> прошло 1 заседание Совета </w:t>
      </w:r>
      <w:r>
        <w:rPr>
          <w:bCs/>
          <w:color w:val="000000"/>
          <w:sz w:val="28"/>
          <w:szCs w:val="28"/>
          <w:shd w:fill="auto" w:val="clear"/>
        </w:rPr>
        <w:t>по улучшению инвестиционного климата и развития предпринимательства</w:t>
      </w:r>
      <w:r>
        <w:rPr>
          <w:color w:val="000000"/>
          <w:sz w:val="28"/>
          <w:szCs w:val="28"/>
          <w:shd w:fill="auto" w:val="clear"/>
        </w:rPr>
        <w:t>., на котором рассматривались вопросы предпринимательской деятельности, законодательства, сотрудниками отдела экономики администрации была оказана консультационная и информационная поддержка 47 субъектам МСП.</w:t>
      </w:r>
    </w:p>
    <w:p>
      <w:pPr>
        <w:pStyle w:val="BodyText3"/>
        <w:tabs>
          <w:tab w:val="clear" w:pos="204"/>
          <w:tab w:val="center" w:pos="4677" w:leader="none"/>
        </w:tabs>
        <w:suppressAutoHyphens w:val="true"/>
        <w:spacing w:lineRule="auto" w:line="240" w:before="0" w:after="0"/>
        <w:ind w:firstLine="69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На официальном сайте администрации Дальнереченского муниципального района размещена информация о мерах поддержки субъектам малого и среднего предпринимательства в разделах «Инвестиционная деятельность» и «Малое и среднее предпринимательство». Кроме того, информация о поддержке субъектов МСП направляется предпринимателям на электронные почты, публикуется в социальных сетях администрации, дублируется в рабочие группы.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fill="auto" w:val="clear"/>
          <w:lang w:val="ru-RU" w:eastAsia="zh-CN"/>
        </w:rPr>
        <w:t xml:space="preserve">Администрацией района в 2 квартале 2024 года было объявлено 3 аукциона на 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/>
        </w:rPr>
        <w:t>в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/>
        </w:rPr>
        <w:t>ыполнение работ, связанных с осуществлением регулярных перевозок пассажиров и багажа автомобильным транспортом по регулируемым тарифам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/>
        </w:rPr>
        <w:t xml:space="preserve"> </w:t>
      </w:r>
      <w:r>
        <w:rPr>
          <w:rFonts w:cs="Times New Roman"/>
          <w:color w:val="000000"/>
          <w:sz w:val="28"/>
          <w:szCs w:val="28"/>
          <w:shd w:fill="auto" w:val="clear"/>
          <w:lang w:val="ru-RU" w:eastAsia="zh-CN"/>
        </w:rPr>
        <w:t>по муниципальным маршрутам, в результате чего было заключено 3 муниципальных контракта на выполнение работ с  транспортным предприятием ООО «Иман-авто». Транспортному предприятию было  произведено возмещение затрат от недополученных доходов за предоставления транспортных услуг населению в границах Дальнереченского муниципального района на общую сумму 1 667,37 тыс.руб.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В целях возмещения недополученных доходов за счёт средств краевого и местного бюджета юридическим лицам, индивидуальным предпринимателям, осуществляющим обеспечение населения Дальнереченского муниципального района твердым топливом (дровами) за счет краевого и местного бюджетов топливоснобжающим организациям     произведено возмещение затрат в размере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14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820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</w:rPr>
        <w:t>,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66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тыс.руб.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По программе «Дальневосточный гектар» в 1 полугодии 2024 года заключено 14 договоров безвозмездного пользования земельными участками с различными видами разрешенного использования, в том числе для ведения бизнеса, предоставлено 10,5 га земли. Всего по программе «Дальневосточный гектар» на 30.06.2024 года предоставлено 385,58 га  земли. Заключено 349 договоров с 430 гражданами.</w:t>
      </w:r>
    </w:p>
    <w:p>
      <w:pPr>
        <w:pStyle w:val="BodyText3"/>
        <w:tabs>
          <w:tab w:val="clear" w:pos="204"/>
          <w:tab w:val="center" w:pos="4677" w:leader="none"/>
        </w:tabs>
        <w:suppressAutoHyphens w:val="true"/>
        <w:spacing w:lineRule="auto" w:line="240" w:before="0" w:after="0"/>
        <w:ind w:firstLine="697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shd w:fill="auto" w:val="clear"/>
          <w:lang w:eastAsia="en-US"/>
        </w:rPr>
        <w:t>В соответствии со ст. 18 Федерального закона от 24.07.2007г. №209-ФЗ «О развитии малого предпринимательства в Российской Федерации» и Федеральным законом от 22.07.2008 г. №159-ФЗ «Об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администрацией Дальнереченского муниципального района проводилась работа по имущественной поддержке субъектов МСП.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В рамках исполнения административного регламента от 11.08.2023 года № 445-па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"Предоставление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собственность" субъектам МСП предоставляется преимущественное право на приобретение </w:t>
      </w: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 xml:space="preserve">арендуемого имущества в собственность.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>В первом полугодии субъекту МСП предоставлен один земельный участок из перечня муниципального имущества свободного от прав третьих лиц, предназначенного для предоставления его во владение и (или) пользование на долгосрочной основе субъектам малого и среднего предпринимательства.</w:t>
      </w:r>
    </w:p>
    <w:p>
      <w:pPr>
        <w:pStyle w:val="Normal"/>
        <w:tabs>
          <w:tab w:val="clear" w:pos="204"/>
          <w:tab w:val="left" w:pos="5655" w:leader="none"/>
        </w:tabs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>В программу приватизации на 2024 год внесены два объекта недвижимости: Двухэтажное нежилое здание – административное и земельный участок, расположенные по адресу: Приморский край, Дальнереченский район, с. Веденка, ул. Мелехина, д. 56. Данные объекты находятся в перечне муниципального имущества свободного от прав третьих лиц, предназначенного для предоставления его во владение и (или) пользование на долгосрочной основе субъектам малого и среднего предпринимательства. В отношении этих объектов с субъектом МПС заключен договор аренды в 2022 году. Реализация этих объектов планируется по цене, определенной независимым оценщиком, в 3 квартале 2024 года путем предложения арендатору реализации его преимущественного права, возникшего в рамках действия пункта 1.1 статьи 3 Федерального закона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>На официальном сайте администрации Дальнереченского муницуипального района размещен Перечень муниципального имущества свободного от прав третьих лиц, предназначенного для предоставления его во владение и (или) пользование на долгосрочной основе субъектам малого и среднего предпринимательства.</w:t>
      </w:r>
    </w:p>
    <w:p>
      <w:pPr>
        <w:pStyle w:val="Style25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Calibri"/>
          <w:b w:val="false"/>
          <w:color w:val="000000"/>
          <w:sz w:val="28"/>
          <w:szCs w:val="28"/>
          <w:shd w:fill="auto" w:val="clear"/>
          <w:lang w:eastAsia="en-US"/>
        </w:rPr>
        <w:t>Финансово-кредитную поддержку субъектам малого и среднего бизнеса оказывают 4-ре действующих учреждения  банковской сферы, расположенных на территории городского округа и 2 филиала расположенные на территории Дальнереченского муниципального района.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bCs/>
          <w:i w:val="false"/>
          <w:i w:val="false"/>
          <w:iCs w:val="false"/>
          <w:shd w:fill="auto" w:val="clear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bCs/>
          <w:i w:val="false"/>
          <w:i w:val="false"/>
          <w:iCs w:val="false"/>
          <w:shd w:fill="auto" w:val="clear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  <w:shd w:fill="auto" w:val="clear"/>
        </w:rPr>
        <w:t>1.5. Перспективы развития (2024-2026 годы)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На территории Дальнереченского муниципального района планируются к реализации, следующие мероприятия: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- обустройство общественной территории в с. Веденка;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- обустройство Сквера Память в с. Орехово;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- строительство модульного спортивного зала на территории МОБУ «СОШ с. Веденка»;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-  на территории МОБУ «СОШ с.Веденка» будет организован «Музей под открытым небом»;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shd w:fill="auto" w:val="clear"/>
          <w:lang w:val="ru-RU"/>
        </w:rPr>
        <w:t>- капитальный ремонт освещения территорий МОБУ «СОШ с.Веденка» и МБУ ДО «ДЮСШ с.Веденка»;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shd w:fill="auto" w:val="clear"/>
          <w:lang w:val="ru-RU"/>
        </w:rPr>
        <w:t>- капитальный ремонт административного здания в с. Веденка;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shd w:fill="auto" w:val="clear"/>
          <w:lang w:val="ru-RU"/>
        </w:rPr>
        <w:t>- капитальный ремонт здания  МБУ ДО «ДЮСШ с.Веденка»;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shd w:fill="auto" w:val="clear"/>
          <w:lang w:val="ru-RU"/>
        </w:rPr>
        <w:t>- капитальный ремонт дамбы обвалования в с. Соловьевка;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shd w:fill="auto" w:val="clear"/>
          <w:lang w:val="ru-RU"/>
        </w:rPr>
        <w:t>- капитальный ремонтам фасада здания МОБУ «СОШ с.Веденка», здания МБУ ДО «ДЮСШ с.Веденка», столовой МОБУ «СОШ с.Ракитное».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shd w:fill="auto" w:val="clear"/>
          <w:lang w:val="ru-RU"/>
        </w:rPr>
        <w:t>- установка модульного ФАПА в с. Веденка;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-</w:t>
      </w:r>
      <w:r>
        <w:rPr>
          <w:color w:val="000000"/>
          <w:kern w:val="2"/>
          <w:sz w:val="28"/>
          <w:szCs w:val="28"/>
          <w:shd w:fill="auto" w:val="clear"/>
          <w:lang w:val="ru-RU"/>
        </w:rPr>
        <w:t>строительство сушильного комплекса для сушки зерна на территории с.Веденка.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shd w:fill="auto" w:val="clear"/>
        </w:rPr>
        <w:t>1.6. Проблемные вопросы.</w:t>
      </w:r>
    </w:p>
    <w:p>
      <w:pPr>
        <w:pStyle w:val="ConsPlus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Одними из ключевых проблем социального развития Дальнереченского муниципального района является:</w:t>
      </w:r>
    </w:p>
    <w:p>
      <w:pPr>
        <w:pStyle w:val="ConsPlus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- снижение численности постоянного населения за счет увеличения естественной убыли и  миграционного оттока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  <w:lang w:val="en-US"/>
        </w:rPr>
        <w:t>;</w:t>
      </w:r>
    </w:p>
    <w:p>
      <w:pPr>
        <w:pStyle w:val="ConsPlus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- нехватка квалифицированных специалистов в области образования, здравоохранения;</w:t>
      </w:r>
    </w:p>
    <w:p>
      <w:pPr>
        <w:pStyle w:val="ConsPlus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-  дефицит кадров рабочих специальностей;</w:t>
      </w:r>
    </w:p>
    <w:p>
      <w:pPr>
        <w:pStyle w:val="ConsPlus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-  отток трудоспособного населения в более перспективные районы.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Неудовлетворительное состояние гравийного покрытия краевой автодороги Дальнереченск-Пожига, Дальнереченск-Поляны-Мартынова Поляна, Кукс — Матвеевка, так же отрицательно сказывается на развитие района. Улучшение дорожного полотна даст толчок развития транспортной логистики, что позволит ускорить дальнейшее освоение сельскохозяйственных земель, возможность развития животноводства.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В сфере здравоохранения необходимо строительство гаражных боксов для автомобиля скорой медицинской помощи, расположенной в с. Ракитное Дальнереченского муниципального района (в зимний период времени температура опускается ниже 40 градусов по Цельсию), строительсва жилья для молодых специалистов. </w:t>
      </w:r>
    </w:p>
    <w:p>
      <w:pPr>
        <w:pStyle w:val="ConsPlus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Color="text1"/>
          <w:sz w:val="28"/>
          <w:szCs w:val="28"/>
          <w:shd w:fill="auto" w:val="clear"/>
        </w:rPr>
        <w:t>Собственных финансовых ресурсов не хватает для реализации в полной мере расходных обязательств муниципального образования, предусмотренных нормами действующего законодательства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В сельскохозяйственной отрасли определены следующие проблемы, требующие разрешения: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- отсутствие постоянных и надежных источников(мест) сбыта сельскохозяйственной продукции;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- отсутствие возможность взятия кредита под низкий процент без поручителя и без залогового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- высокие цены на минеральные удобрения, ядохимикаты, комплектующие, ГСМ, а также высокие транспортные расходы за доставку этих материалов;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- низкая цена за сбыт сельскохозяйственной продукции.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2. Документы стратегического планирования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fill="auto" w:val="clear"/>
        </w:rPr>
        <w:t>2.1.Утверждены документы стратегического планирования: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-</w:t>
      </w:r>
      <w:r>
        <w:rPr>
          <w:sz w:val="28"/>
          <w:szCs w:val="28"/>
          <w:shd w:fill="auto" w:val="clear"/>
          <w:lang w:val="en-US"/>
        </w:rPr>
        <w:t xml:space="preserve"> «</w:t>
      </w:r>
      <w:r>
        <w:rPr>
          <w:sz w:val="28"/>
          <w:szCs w:val="28"/>
          <w:shd w:fill="auto" w:val="clear"/>
        </w:rPr>
        <w:t>Прогноз социально-экономического развития на 2024 год и плановый период 2025-2026 года» утвержденный постановлением администрации Дальнереченского муниципального района от 14 ноября 2023 № 649-па;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- Бюджетный прогноз на 2023-2028 годы утвержденный постановлением администрации Дальнереченского муниципального района от 20.02.2023 № 104-па;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-</w:t>
      </w:r>
      <w:r>
        <w:rPr>
          <w:sz w:val="28"/>
          <w:szCs w:val="28"/>
          <w:shd w:fill="auto" w:val="clear"/>
          <w:lang w:val="en-US"/>
        </w:rPr>
        <w:t> </w:t>
      </w:r>
      <w:r>
        <w:rPr>
          <w:sz w:val="28"/>
          <w:szCs w:val="28"/>
          <w:shd w:fill="auto" w:val="clear"/>
        </w:rPr>
        <w:t>Прогноз социально-экономического развития Дальнереченского муниципального района на долгосрочный период до 2024 года утвержденный распоряжением администрации Дальнереченского муниципального района от 09.11.2018 № 262-ра.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Дальнереченский муниципальный район принимает участие в реализации следующих муниципальных программ: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-</w:t>
      </w:r>
      <w:r>
        <w:rPr>
          <w:color w:val="000000"/>
          <w:sz w:val="28"/>
          <w:szCs w:val="28"/>
          <w:shd w:fill="auto" w:val="clear"/>
          <w:lang w:eastAsia="zh-CN"/>
        </w:rPr>
        <w:t> «Развитие образования на территории Дальнереченского муниципального района"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  <w:lang w:eastAsia="zh-CN"/>
        </w:rPr>
        <w:t>-</w:t>
      </w:r>
      <w:r>
        <w:rPr>
          <w:bCs/>
          <w:color w:val="000000"/>
          <w:sz w:val="28"/>
          <w:szCs w:val="28"/>
          <w:shd w:fill="auto" w:val="clear"/>
          <w:lang w:eastAsia="zh-CN"/>
        </w:rPr>
        <w:t> «Развитие и сохранение культуры, спорта, молодежной политики на территории Дальнереченского муниципального района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fill="auto" w:val="clear"/>
          <w:lang w:eastAsia="zh-CN"/>
        </w:rPr>
        <w:t>- «Развитие предпринимательства в Дальнереченском муниципальном районе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fill="auto" w:val="clear"/>
          <w:lang w:eastAsia="zh-CN"/>
        </w:rPr>
        <w:t>- «Комплексные меры противодействия злоупотреблению наркотиками и их незаконному обороту на территории Дальнереченского муниципального района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fill="auto" w:val="clear"/>
          <w:lang w:eastAsia="zh-CN"/>
        </w:rPr>
        <w:t>- 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fill="auto" w:val="clear"/>
          <w:lang w:eastAsia="zh-CN"/>
        </w:rPr>
        <w:t>- «Социальная поддержка инвалидов в Дальнереченском муниципальном районе 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fill="auto" w:val="clear"/>
          <w:lang w:eastAsia="zh-CN"/>
        </w:rPr>
        <w:t>- «Развитие муниципальной службы в Дальнереченском муниципальном районе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fill="auto" w:val="clear"/>
          <w:lang w:eastAsia="zh-CN"/>
        </w:rPr>
        <w:t>- «Содержание и развитие муниципального  хозяйства Дальнереченского муниципального района 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fill="auto" w:val="clear"/>
          <w:lang w:eastAsia="zh-CN"/>
        </w:rPr>
        <w:t>- «Информатизация и обеспечение информационной безопасности, техническое обслуживание и ремонт оргтехники органов местного самоуправления  Дальнереченского муниципального района 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fill="auto" w:val="clear"/>
          <w:lang w:eastAsia="zh-CN"/>
        </w:rPr>
        <w:t>- «Управление муниципальными финансами Дальнереченского муниципального района 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fill="auto" w:val="clear"/>
          <w:lang w:eastAsia="zh-CN"/>
        </w:rPr>
        <w:t>- «Развитие кадрового потенциала системы общего образования в Дальнереченском муниципальном районе в 2021-2025 годах»;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fill="auto" w:val="clear"/>
          <w:lang w:eastAsia="zh-CN"/>
        </w:rPr>
        <w:t>- «Противодействие коррупции в Дальнереченском муниципальном районе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fill="auto" w:val="clear"/>
          <w:lang w:eastAsia="zh-CN"/>
        </w:rPr>
        <w:t>- «Управление муниципальным имуществом и земельными ресурсами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fill="auto" w:val="clear"/>
          <w:lang w:eastAsia="zh-CN"/>
        </w:rPr>
        <w:t>- «Профилактика терроризма и противодействие экстремизму на территории Дальнереченского муниципального района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fill="auto" w:val="clear"/>
          <w:lang w:eastAsia="zh-CN"/>
        </w:rPr>
        <w:t>- «Укрепление общественного здоровья на территории Дальнереченского муниципального района на 2021-2026 годы».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fill="auto" w:val="clear"/>
        </w:rPr>
        <w:t>2.2. Инвестиционные проекты: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1. Благоустройство семейного центра отдыха «Острая сопка», проект рассчитан на 5 лет. Срок реализации 2019-2024 гг;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2. Строительство сушильного комплекса для кукурузы. Срок реализации: июнь 2023 — июль 202</w:t>
      </w:r>
      <w:r>
        <w:rPr>
          <w:sz w:val="28"/>
          <w:szCs w:val="28"/>
          <w:shd w:fill="auto" w:val="clear"/>
        </w:rPr>
        <w:t>5</w:t>
      </w:r>
      <w:r>
        <w:rPr>
          <w:sz w:val="28"/>
          <w:szCs w:val="28"/>
          <w:shd w:fill="auto" w:val="clear"/>
        </w:rPr>
        <w:t xml:space="preserve"> гг.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3. Идут подготовительные процедуры к реализации инвестиционного проекта по строительству магистрального газопровода «Сахалин-Хабаровск-Вдадивосток», КС-9 «Дальнереченская». Срок реализации с 01.01.2025 по 01.11.2027 года.</w:t>
      </w:r>
    </w:p>
    <w:p>
      <w:pPr>
        <w:pStyle w:val="ConsPlus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</w:r>
    </w:p>
    <w:p>
      <w:pPr>
        <w:pStyle w:val="NormalWeb"/>
        <w:spacing w:beforeAutospacing="0" w:before="280" w:afterAutospacing="0" w:after="28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134" w:right="566" w:gutter="0" w:header="0" w:top="851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3"/>
      <w:jc w:val="center"/>
      <w:rPr/>
    </w:pPr>
    <w:r>
      <w:rPr/>
    </w:r>
  </w:p>
  <w:p>
    <w:pPr>
      <w:pStyle w:val="1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1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3"/>
      <w:jc w:val="center"/>
      <w:rPr/>
    </w:pPr>
    <w:r>
      <w:rPr/>
    </w:r>
  </w:p>
  <w:p>
    <w:pPr>
      <w:pStyle w:val="1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1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embedSystemFonts/>
  <w:defaultTabStop w:val="204"/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60c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rsid w:val="007500e1"/>
    <w:rPr>
      <w:sz w:val="24"/>
      <w:szCs w:val="24"/>
    </w:rPr>
  </w:style>
  <w:style w:type="character" w:styleId="Style15" w:customStyle="1">
    <w:name w:val="Нижний колонтитул Знак"/>
    <w:uiPriority w:val="99"/>
    <w:qFormat/>
    <w:rsid w:val="007500e1"/>
    <w:rPr>
      <w:sz w:val="24"/>
      <w:szCs w:val="24"/>
    </w:rPr>
  </w:style>
  <w:style w:type="character" w:styleId="2" w:customStyle="1">
    <w:name w:val="Основной текст 2 Знак"/>
    <w:basedOn w:val="DefaultParagraphFont"/>
    <w:link w:val="21"/>
    <w:qFormat/>
    <w:rsid w:val="00de5ba8"/>
    <w:rPr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7b4e83"/>
    <w:rPr/>
  </w:style>
  <w:style w:type="character" w:styleId="Strong">
    <w:name w:val="Strong"/>
    <w:basedOn w:val="DefaultParagraphFont"/>
    <w:qFormat/>
    <w:rsid w:val="00c957d9"/>
    <w:rPr>
      <w:b/>
      <w:bCs/>
    </w:rPr>
  </w:style>
  <w:style w:type="character" w:styleId="Style16" w:customStyle="1">
    <w:name w:val="Основной текст с отступом Знак"/>
    <w:basedOn w:val="DefaultParagraphFont"/>
    <w:qFormat/>
    <w:rsid w:val="00d24c66"/>
    <w:rPr>
      <w:sz w:val="24"/>
      <w:szCs w:val="24"/>
    </w:rPr>
  </w:style>
  <w:style w:type="character" w:styleId="3" w:customStyle="1">
    <w:name w:val="Основной текст с отступом 3 Знак"/>
    <w:basedOn w:val="DefaultParagraphFont"/>
    <w:link w:val="311"/>
    <w:uiPriority w:val="99"/>
    <w:qFormat/>
    <w:rsid w:val="00d75786"/>
    <w:rPr>
      <w:sz w:val="16"/>
      <w:szCs w:val="16"/>
    </w:rPr>
  </w:style>
  <w:style w:type="character" w:styleId="Normal1" w:customStyle="1">
    <w:name w:val="Normal Знак"/>
    <w:basedOn w:val="DefaultParagraphFont"/>
    <w:qFormat/>
    <w:rsid w:val="0016606e"/>
    <w:rPr>
      <w:rFonts w:ascii="Arial" w:hAnsi="Arial"/>
      <w:sz w:val="22"/>
    </w:rPr>
  </w:style>
  <w:style w:type="character" w:styleId="1" w:customStyle="1">
    <w:name w:val="Обычный1 Знак"/>
    <w:basedOn w:val="DefaultParagraphFont"/>
    <w:uiPriority w:val="99"/>
    <w:qFormat/>
    <w:rsid w:val="00fc6ccd"/>
    <w:rPr>
      <w:sz w:val="26"/>
      <w:lang w:val="ru-RU" w:eastAsia="ru-RU" w:bidi="ar-SA"/>
    </w:rPr>
  </w:style>
  <w:style w:type="character" w:styleId="Bumpedfont15mailrucssattributepostfixmailrucssattributepostfix" w:customStyle="1">
    <w:name w:val="bumpedfont15mailrucssattributepostfixmailrucssattributepostfix"/>
    <w:basedOn w:val="DefaultParagraphFont"/>
    <w:qFormat/>
    <w:rsid w:val="00e46a8e"/>
    <w:rPr/>
  </w:style>
  <w:style w:type="character" w:styleId="31" w:customStyle="1">
    <w:name w:val="Основной текст 3 Знак"/>
    <w:basedOn w:val="DefaultParagraphFont"/>
    <w:link w:val="BodyText3"/>
    <w:qFormat/>
    <w:rsid w:val="00f527ae"/>
    <w:rPr>
      <w:sz w:val="16"/>
      <w:szCs w:val="16"/>
    </w:rPr>
  </w:style>
  <w:style w:type="character" w:styleId="Docdata" w:customStyle="1">
    <w:name w:val="docdata"/>
    <w:basedOn w:val="DefaultParagraphFont"/>
    <w:qFormat/>
    <w:rsid w:val="00aa07c6"/>
    <w:rPr/>
  </w:style>
  <w:style w:type="paragraph" w:styleId="Style17" w:customStyle="1">
    <w:name w:val="Заголовок"/>
    <w:basedOn w:val="Normal"/>
    <w:next w:val="Style18"/>
    <w:qFormat/>
    <w:rsid w:val="00e46a8e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2a60c8"/>
    <w:pPr>
      <w:jc w:val="both"/>
    </w:pPr>
    <w:rPr>
      <w:sz w:val="28"/>
    </w:rPr>
  </w:style>
  <w:style w:type="paragraph" w:styleId="Style19">
    <w:name w:val="List"/>
    <w:basedOn w:val="Style18"/>
    <w:rsid w:val="00e46a8e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 11"/>
    <w:basedOn w:val="Normal"/>
    <w:next w:val="Normal"/>
    <w:qFormat/>
    <w:rsid w:val="002a60c8"/>
    <w:pPr>
      <w:keepNext w:val="true"/>
      <w:spacing w:before="0" w:after="120"/>
      <w:outlineLvl w:val="0"/>
    </w:pPr>
    <w:rPr>
      <w:b/>
      <w:bCs/>
      <w:sz w:val="26"/>
      <w:szCs w:val="26"/>
    </w:rPr>
  </w:style>
  <w:style w:type="paragraph" w:styleId="41" w:customStyle="1">
    <w:name w:val="Заголовок 41"/>
    <w:basedOn w:val="Normal"/>
    <w:next w:val="Normal"/>
    <w:qFormat/>
    <w:rsid w:val="002a60c8"/>
    <w:pPr>
      <w:keepNext w:val="true"/>
      <w:spacing w:before="60" w:after="0"/>
      <w:jc w:val="both"/>
      <w:outlineLvl w:val="3"/>
    </w:pPr>
    <w:rPr>
      <w:b/>
      <w:bCs/>
      <w:sz w:val="26"/>
    </w:rPr>
  </w:style>
  <w:style w:type="paragraph" w:styleId="51" w:customStyle="1">
    <w:name w:val="Заголовок 51"/>
    <w:basedOn w:val="Normal"/>
    <w:next w:val="Normal"/>
    <w:qFormat/>
    <w:rsid w:val="002a60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1" w:customStyle="1">
    <w:name w:val="Заголовок 61"/>
    <w:basedOn w:val="Normal"/>
    <w:next w:val="Normal"/>
    <w:qFormat/>
    <w:rsid w:val="002a60c8"/>
    <w:pPr>
      <w:keepNext w:val="true"/>
      <w:outlineLvl w:val="5"/>
    </w:pPr>
    <w:rPr>
      <w:sz w:val="28"/>
      <w:szCs w:val="28"/>
    </w:rPr>
  </w:style>
  <w:style w:type="paragraph" w:styleId="12" w:customStyle="1">
    <w:name w:val="Название объекта1"/>
    <w:basedOn w:val="Normal"/>
    <w:qFormat/>
    <w:rsid w:val="00e46a8e"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rsid w:val="00e46a8e"/>
    <w:pPr>
      <w:suppressLineNumbers/>
    </w:pPr>
    <w:rPr>
      <w:rFonts w:cs="Lucida Sans"/>
    </w:rPr>
  </w:style>
  <w:style w:type="paragraph" w:styleId="21" w:customStyle="1">
    <w:name w:val="Основной текст 2 Знак1"/>
    <w:basedOn w:val="Normal"/>
    <w:next w:val="Normal"/>
    <w:link w:val="2"/>
    <w:qFormat/>
    <w:rsid w:val="002a60c8"/>
    <w:pPr>
      <w:keepNext w:val="true"/>
      <w:spacing w:before="0" w:after="120"/>
      <w:jc w:val="center"/>
      <w:outlineLvl w:val="1"/>
    </w:pPr>
    <w:rPr>
      <w:b/>
      <w:bCs/>
      <w:sz w:val="40"/>
      <w:szCs w:val="40"/>
    </w:rPr>
  </w:style>
  <w:style w:type="paragraph" w:styleId="311" w:customStyle="1">
    <w:name w:val="Основной текст с отступом 3 Знак1"/>
    <w:basedOn w:val="Normal"/>
    <w:next w:val="Normal"/>
    <w:link w:val="3"/>
    <w:qFormat/>
    <w:rsid w:val="002a60c8"/>
    <w:pPr>
      <w:keepNext w:val="true"/>
      <w:outlineLvl w:val="2"/>
    </w:pPr>
    <w:rPr>
      <w:b/>
      <w:bCs/>
      <w:sz w:val="26"/>
    </w:rPr>
  </w:style>
  <w:style w:type="paragraph" w:styleId="Style22" w:customStyle="1">
    <w:name w:val="Верхний и нижний колонтитулы"/>
    <w:basedOn w:val="Normal"/>
    <w:qFormat/>
    <w:rsid w:val="00e46a8e"/>
    <w:pPr/>
    <w:rPr/>
  </w:style>
  <w:style w:type="paragraph" w:styleId="13" w:customStyle="1">
    <w:name w:val="Верхний колонтитул1"/>
    <w:basedOn w:val="Normal"/>
    <w:uiPriority w:val="99"/>
    <w:qFormat/>
    <w:rsid w:val="007500e1"/>
    <w:pPr>
      <w:tabs>
        <w:tab w:val="clear" w:pos="204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2a60c8"/>
    <w:pPr/>
    <w:rPr>
      <w:rFonts w:ascii="Tahoma" w:hAnsi="Tahoma" w:cs="Tahoma"/>
      <w:sz w:val="16"/>
      <w:szCs w:val="16"/>
    </w:rPr>
  </w:style>
  <w:style w:type="paragraph" w:styleId="14" w:customStyle="1">
    <w:name w:val="Нижний колонтитул1"/>
    <w:basedOn w:val="Normal"/>
    <w:uiPriority w:val="99"/>
    <w:qFormat/>
    <w:rsid w:val="007500e1"/>
    <w:pPr>
      <w:tabs>
        <w:tab w:val="clear" w:pos="204"/>
        <w:tab w:val="center" w:pos="4677" w:leader="none"/>
        <w:tab w:val="right" w:pos="9355" w:leader="none"/>
      </w:tabs>
    </w:pPr>
    <w:rPr/>
  </w:style>
  <w:style w:type="paragraph" w:styleId="Style23" w:customStyle="1">
    <w:name w:val="Знак Знак Знак"/>
    <w:basedOn w:val="Normal"/>
    <w:qFormat/>
    <w:rsid w:val="00b36bf8"/>
    <w:pPr>
      <w:spacing w:lineRule="exact" w:line="240" w:before="0" w:after="160"/>
      <w:ind w:firstLine="709"/>
    </w:pPr>
    <w:rPr>
      <w:rFonts w:ascii="Verdana" w:hAnsi="Verdana"/>
      <w:sz w:val="16"/>
      <w:szCs w:val="20"/>
    </w:rPr>
  </w:style>
  <w:style w:type="paragraph" w:styleId="NormalWeb">
    <w:name w:val="Normal (Web)"/>
    <w:basedOn w:val="Normal"/>
    <w:uiPriority w:val="99"/>
    <w:qFormat/>
    <w:rsid w:val="00b36bf8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3446a"/>
    <w:pPr>
      <w:spacing w:before="0" w:after="0"/>
      <w:ind w:left="720" w:hanging="0"/>
      <w:contextualSpacing/>
    </w:pPr>
    <w:rPr/>
  </w:style>
  <w:style w:type="paragraph" w:styleId="15" w:customStyle="1">
    <w:name w:val="Знак1 Знак Знак"/>
    <w:basedOn w:val="Normal"/>
    <w:qFormat/>
    <w:rsid w:val="002a3b8d"/>
    <w:pPr/>
    <w:rPr>
      <w:rFonts w:ascii="Verdana" w:hAnsi="Verdana" w:cs="Verdana"/>
      <w:sz w:val="20"/>
      <w:szCs w:val="20"/>
      <w:lang w:val="en-US" w:eastAsia="en-US"/>
    </w:rPr>
  </w:style>
  <w:style w:type="paragraph" w:styleId="Style24" w:customStyle="1">
    <w:name w:val="Знак"/>
    <w:basedOn w:val="Normal"/>
    <w:qFormat/>
    <w:rsid w:val="001e5ec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6" w:customStyle="1">
    <w:name w:val="Знак1"/>
    <w:basedOn w:val="Normal"/>
    <w:qFormat/>
    <w:rsid w:val="007d4b6a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2">
    <w:name w:val="Body Text 2"/>
    <w:basedOn w:val="Normal"/>
    <w:qFormat/>
    <w:rsid w:val="00de5ba8"/>
    <w:pPr>
      <w:spacing w:lineRule="auto" w:line="480" w:before="0" w:after="120"/>
    </w:pPr>
    <w:rPr/>
  </w:style>
  <w:style w:type="paragraph" w:styleId="22" w:customStyle="1">
    <w:name w:val="Знак Знак2 Знак Знак"/>
    <w:basedOn w:val="Normal"/>
    <w:qFormat/>
    <w:rsid w:val="00e55bb5"/>
    <w:pPr>
      <w:jc w:val="both"/>
    </w:pPr>
    <w:rPr>
      <w:rFonts w:ascii="Verdana" w:hAnsi="Verdana" w:eastAsia="SimSun" w:cs="Verdana"/>
      <w:sz w:val="20"/>
      <w:szCs w:val="20"/>
      <w:lang w:val="en-US" w:eastAsia="en-US"/>
    </w:rPr>
  </w:style>
  <w:style w:type="paragraph" w:styleId="Style25">
    <w:name w:val="Body Text Indent"/>
    <w:basedOn w:val="Normal"/>
    <w:rsid w:val="00d24c66"/>
    <w:pPr>
      <w:spacing w:before="0" w:after="120"/>
      <w:ind w:left="283" w:hanging="0"/>
    </w:pPr>
    <w:rPr/>
  </w:style>
  <w:style w:type="paragraph" w:styleId="ConsPlusNormal" w:customStyle="1">
    <w:name w:val="ConsPlusNormal"/>
    <w:qFormat/>
    <w:rsid w:val="00e52e44"/>
    <w:pPr>
      <w:widowControl w:val="false"/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e52e4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odyTextIndent3">
    <w:name w:val="Body Text Indent 3"/>
    <w:basedOn w:val="Normal"/>
    <w:uiPriority w:val="99"/>
    <w:unhideWhenUsed/>
    <w:qFormat/>
    <w:rsid w:val="00d75786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Обычный1"/>
    <w:uiPriority w:val="99"/>
    <w:qFormat/>
    <w:rsid w:val="0016606e"/>
    <w:pPr>
      <w:widowControl/>
      <w:suppressAutoHyphens w:val="true"/>
      <w:bidi w:val="0"/>
      <w:spacing w:lineRule="auto" w:line="360" w:before="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ConsNonformat" w:customStyle="1">
    <w:name w:val="ConsNonformat"/>
    <w:qFormat/>
    <w:rsid w:val="00ab777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Msonormalbullet1gif" w:customStyle="1">
    <w:name w:val="msonormalbullet1.gif"/>
    <w:basedOn w:val="Normal"/>
    <w:qFormat/>
    <w:rsid w:val="00e46a8e"/>
    <w:pPr>
      <w:spacing w:beforeAutospacing="1" w:afterAutospacing="1"/>
    </w:pPr>
    <w:rPr/>
  </w:style>
  <w:style w:type="paragraph" w:styleId="BodyText3">
    <w:name w:val="Body Text 3"/>
    <w:basedOn w:val="Normal"/>
    <w:link w:val="31"/>
    <w:qFormat/>
    <w:rsid w:val="00f527ae"/>
    <w:pPr>
      <w:widowControl w:val="false"/>
      <w:suppressAutoHyphens w:val="false"/>
      <w:spacing w:before="0" w:after="120"/>
    </w:pPr>
    <w:rPr>
      <w:sz w:val="16"/>
      <w:szCs w:val="16"/>
    </w:rPr>
  </w:style>
  <w:style w:type="paragraph" w:styleId="2777" w:customStyle="1">
    <w:name w:val="2777"/>
    <w:basedOn w:val="Normal"/>
    <w:qFormat/>
    <w:rsid w:val="00d405dd"/>
    <w:pPr>
      <w:suppressAutoHyphens w:val="false"/>
      <w:spacing w:beforeAutospacing="1" w:afterAutospacing="1"/>
    </w:pPr>
    <w:rPr/>
  </w:style>
  <w:style w:type="paragraph" w:styleId="2375" w:customStyle="1">
    <w:name w:val="2375"/>
    <w:basedOn w:val="Normal"/>
    <w:qFormat/>
    <w:rsid w:val="00d405dd"/>
    <w:pPr>
      <w:suppressAutoHyphens w:val="false"/>
      <w:spacing w:beforeAutospacing="1" w:afterAutospacing="1"/>
    </w:pPr>
    <w:rPr/>
  </w:style>
  <w:style w:type="paragraph" w:styleId="2666" w:customStyle="1">
    <w:name w:val="2666"/>
    <w:basedOn w:val="Normal"/>
    <w:qFormat/>
    <w:rsid w:val="00555545"/>
    <w:pPr>
      <w:suppressAutoHyphens w:val="false"/>
      <w:spacing w:beforeAutospacing="1" w:afterAutospacing="1"/>
    </w:pPr>
    <w:rPr/>
  </w:style>
  <w:style w:type="paragraph" w:styleId="3928" w:customStyle="1">
    <w:name w:val="3928"/>
    <w:basedOn w:val="Normal"/>
    <w:qFormat/>
    <w:rsid w:val="00f65767"/>
    <w:pPr>
      <w:suppressAutoHyphens w:val="false"/>
      <w:spacing w:beforeAutospacing="1" w:afterAutospacing="1"/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Style26"/>
    <w:pPr/>
    <w:rPr/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5381-991B-45A0-94BF-563F70DD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Application>LibreOffice/7.3.3.2$Windows_X86_64 LibreOffice_project/d1d0ea68f081ee2800a922cac8f79445e4603348</Application>
  <AppVersion>15.0000</AppVersion>
  <Pages>8</Pages>
  <Words>2519</Words>
  <Characters>17251</Characters>
  <CharactersWithSpaces>19615</CharactersWithSpaces>
  <Paragraphs>283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2023-05-10T00:27:00Z</dcterms:created>
  <dc:creator>user32</dc:creator>
  <dc:description/>
  <dc:language>ru-RU</dc:language>
  <cp:lastModifiedBy/>
  <cp:lastPrinted>2024-05-29T12:12:51Z</cp:lastPrinted>
  <dcterms:modified xsi:type="dcterms:W3CDTF">2024-08-16T12:30:17Z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