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jc w:val="center"/>
        <w:rPr/>
      </w:pPr>
      <w:r>
        <w:rPr>
          <w:rFonts w:cs="Times New Roman" w:ascii="Times New Roman" w:hAnsi="Times New Roman"/>
          <w:b/>
          <w:sz w:val="26"/>
          <w:szCs w:val="26"/>
        </w:rPr>
        <w:t>Информация о реализации на  территории Дальнереченского  муниципального района</w:t>
      </w:r>
    </w:p>
    <w:p>
      <w:pPr>
        <w:pStyle w:val="ConsPlusNormal"/>
        <w:spacing w:lineRule="auto" w:line="240"/>
        <w:jc w:val="center"/>
        <w:rPr/>
      </w:pPr>
      <w:r>
        <w:rPr>
          <w:rFonts w:cs="Times New Roman" w:ascii="Times New Roman" w:hAnsi="Times New Roman"/>
          <w:b/>
          <w:sz w:val="26"/>
          <w:szCs w:val="26"/>
        </w:rPr>
        <w:t>«Дорожной карты» утвержденной распоряжением администрации Дальнереченского муниципального района</w:t>
      </w:r>
    </w:p>
    <w:p>
      <w:pPr>
        <w:pStyle w:val="ConsPlusNormal"/>
        <w:spacing w:lineRule="auto" w:line="240"/>
        <w:jc w:val="center"/>
        <w:rPr/>
      </w:pPr>
      <w:r>
        <w:rPr>
          <w:rFonts w:cs="Times New Roman" w:ascii="Times New Roman" w:hAnsi="Times New Roman"/>
          <w:b/>
          <w:sz w:val="26"/>
          <w:szCs w:val="26"/>
        </w:rPr>
        <w:t xml:space="preserve"> </w:t>
      </w:r>
      <w:r>
        <w:rPr>
          <w:rFonts w:cs="Times New Roman" w:ascii="Times New Roman" w:hAnsi="Times New Roman"/>
          <w:b/>
          <w:sz w:val="26"/>
          <w:szCs w:val="26"/>
        </w:rPr>
        <w:t xml:space="preserve">от 20 ноября 2019 года № 300-ра </w:t>
      </w:r>
      <w:r>
        <w:rPr>
          <w:rFonts w:ascii="Times New Roman" w:hAnsi="Times New Roman"/>
          <w:b/>
          <w:sz w:val="26"/>
          <w:szCs w:val="26"/>
        </w:rPr>
        <w:t>«Об утверждении Плана мероприятий («дорожной карты»)</w:t>
      </w:r>
    </w:p>
    <w:p>
      <w:pPr>
        <w:pStyle w:val="Normal"/>
        <w:spacing w:lineRule="auto" w:line="240" w:before="0" w:after="0"/>
        <w:jc w:val="center"/>
        <w:rPr/>
      </w:pPr>
      <w:r>
        <w:rPr>
          <w:rFonts w:ascii="Times New Roman" w:hAnsi="Times New Roman"/>
          <w:b/>
          <w:sz w:val="26"/>
          <w:szCs w:val="26"/>
        </w:rPr>
        <w:t xml:space="preserve"> </w:t>
      </w:r>
      <w:r>
        <w:rPr>
          <w:rFonts w:ascii="Times New Roman" w:hAnsi="Times New Roman"/>
          <w:b/>
          <w:sz w:val="26"/>
          <w:szCs w:val="26"/>
        </w:rPr>
        <w:t>по содействию конкуренции, развитию конкурентной среды в Дальнереченском муниципальном районе»</w:t>
      </w:r>
    </w:p>
    <w:p>
      <w:pPr>
        <w:pStyle w:val="Normal"/>
        <w:spacing w:lineRule="auto" w:line="240" w:before="0" w:after="0"/>
        <w:jc w:val="center"/>
        <w:rPr/>
      </w:pPr>
      <w:r>
        <w:rPr>
          <w:rFonts w:ascii="Times New Roman" w:hAnsi="Times New Roman"/>
          <w:b/>
          <w:sz w:val="26"/>
          <w:szCs w:val="26"/>
        </w:rPr>
        <w:t xml:space="preserve"> </w:t>
      </w:r>
      <w:r>
        <w:rPr>
          <w:rFonts w:ascii="Times New Roman" w:hAnsi="Times New Roman"/>
          <w:b/>
          <w:sz w:val="26"/>
          <w:szCs w:val="26"/>
        </w:rPr>
        <w:t xml:space="preserve">за  </w:t>
      </w:r>
      <w:r>
        <w:rPr>
          <w:rFonts w:ascii="Times New Roman" w:hAnsi="Times New Roman"/>
          <w:b/>
          <w:sz w:val="26"/>
          <w:szCs w:val="26"/>
          <w:lang w:val="en-US"/>
        </w:rPr>
        <w:t>II</w:t>
      </w:r>
      <w:r>
        <w:rPr>
          <w:rFonts w:ascii="Times New Roman" w:hAnsi="Times New Roman"/>
          <w:b/>
          <w:sz w:val="26"/>
          <w:szCs w:val="26"/>
          <w:lang w:val="en-US"/>
        </w:rPr>
        <w:t>I</w:t>
      </w:r>
      <w:r>
        <w:rPr>
          <w:rFonts w:ascii="Times New Roman" w:hAnsi="Times New Roman"/>
          <w:b/>
          <w:sz w:val="26"/>
          <w:szCs w:val="26"/>
        </w:rPr>
        <w:t xml:space="preserve"> квартал 2021 года</w:t>
      </w:r>
    </w:p>
    <w:p>
      <w:pPr>
        <w:pStyle w:val="ConsPlusNormal"/>
        <w:spacing w:lineRule="auto" w:line="240"/>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0" distR="0" simplePos="0" locked="0" layoutInCell="0" allowOverlap="1" relativeHeight="4">
                <wp:simplePos x="0" y="0"/>
                <wp:positionH relativeFrom="column">
                  <wp:posOffset>2715895</wp:posOffset>
                </wp:positionH>
                <wp:positionV relativeFrom="paragraph">
                  <wp:posOffset>10955020</wp:posOffset>
                </wp:positionV>
                <wp:extent cx="1948180" cy="14605"/>
                <wp:effectExtent l="0" t="0" r="0" b="0"/>
                <wp:wrapNone/>
                <wp:docPr id="1" name="Фигура3"/>
                <a:graphic xmlns:a="http://schemas.openxmlformats.org/drawingml/2006/main">
                  <a:graphicData uri="http://schemas.microsoft.com/office/word/2010/wordprocessingShape">
                    <wps:wsp>
                      <wps:cNvSpPr/>
                      <wps:spPr>
                        <a:xfrm>
                          <a:off x="0" y="0"/>
                          <a:ext cx="1947600" cy="9360"/>
                        </a:xfrm>
                        <a:prstGeom prst="line">
                          <a:avLst/>
                        </a:prstGeom>
                        <a:ln w="21600">
                          <a:solidFill>
                            <a:srgbClr val="808080"/>
                          </a:solidFill>
                          <a:round/>
                        </a:ln>
                      </wps:spPr>
                      <wps:style>
                        <a:lnRef idx="0"/>
                        <a:fillRef idx="0"/>
                        <a:effectRef idx="0"/>
                        <a:fontRef idx="minor"/>
                      </wps:style>
                      <wps:bodyPr/>
                    </wps:wsp>
                  </a:graphicData>
                </a:graphic>
              </wp:anchor>
            </w:drawing>
          </mc:Choice>
          <mc:Fallback>
            <w:pict>
              <v:line id="shape_0" from="213.85pt,862.6pt" to="367.15pt,863.3pt" ID="Фигура3" stroked="t" style="position:absolute">
                <v:stroke color="gray" weight="21600" joinstyle="round" endcap="flat"/>
                <v:fill o:detectmouseclick="t" on="false"/>
                <w10:wrap type="none"/>
              </v:line>
            </w:pict>
          </mc:Fallback>
        </mc:AlternateContent>
      </w:r>
    </w:p>
    <w:tbl>
      <w:tblPr>
        <w:tblW w:w="15452" w:type="dxa"/>
        <w:jc w:val="left"/>
        <w:tblInd w:w="-222" w:type="dxa"/>
        <w:tblLayout w:type="fixed"/>
        <w:tblCellMar>
          <w:top w:w="102" w:type="dxa"/>
          <w:left w:w="62" w:type="dxa"/>
          <w:bottom w:w="102" w:type="dxa"/>
          <w:right w:w="62" w:type="dxa"/>
        </w:tblCellMar>
        <w:tblLook w:val="0000"/>
      </w:tblPr>
      <w:tblGrid>
        <w:gridCol w:w="551"/>
        <w:gridCol w:w="2676"/>
        <w:gridCol w:w="2"/>
        <w:gridCol w:w="1270"/>
        <w:gridCol w:w="3"/>
        <w:gridCol w:w="1841"/>
        <w:gridCol w:w="3"/>
        <w:gridCol w:w="1019"/>
        <w:gridCol w:w="690"/>
        <w:gridCol w:w="675"/>
        <w:gridCol w:w="570"/>
        <w:gridCol w:w="570"/>
        <w:gridCol w:w="675"/>
        <w:gridCol w:w="734"/>
        <w:gridCol w:w="2102"/>
        <w:gridCol w:w="2070"/>
      </w:tblGrid>
      <w:tr>
        <w:trPr>
          <w:tblHeader w:val="true"/>
          <w:trHeight w:val="810" w:hRule="atLeast"/>
        </w:trPr>
        <w:tc>
          <w:tcPr>
            <w:tcW w:w="55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N п/п</w:t>
            </w:r>
          </w:p>
        </w:tc>
        <w:tc>
          <w:tcPr>
            <w:tcW w:w="267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b/>
                <w:b/>
                <w:bCs/>
                <w:i w:val="false"/>
                <w:i w:val="false"/>
                <w:iCs w:val="false"/>
                <w:sz w:val="26"/>
                <w:szCs w:val="26"/>
              </w:rPr>
            </w:pPr>
            <w:r>
              <w:rPr>
                <w:rFonts w:cs="Times New Roman" w:ascii="Times New Roman" w:hAnsi="Times New Roman"/>
                <w:b/>
                <w:bCs/>
                <w:i w:val="false"/>
                <w:iCs w:val="false"/>
                <w:sz w:val="26"/>
                <w:szCs w:val="26"/>
              </w:rPr>
              <w:t>Наименование мероприятия</w:t>
            </w:r>
          </w:p>
        </w:tc>
        <w:tc>
          <w:tcPr>
            <w:tcW w:w="127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Срок исполнения мероприятия</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Наименование показателя</w:t>
            </w:r>
          </w:p>
        </w:tc>
        <w:tc>
          <w:tcPr>
            <w:tcW w:w="102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Единицы измерения</w:t>
            </w:r>
          </w:p>
        </w:tc>
        <w:tc>
          <w:tcPr>
            <w:tcW w:w="3914"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Целевые значения показателя</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Ответственные исполнители (соисполнители)</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Результат</w:t>
            </w:r>
          </w:p>
        </w:tc>
      </w:tr>
      <w:tr>
        <w:trPr>
          <w:tblHeader w:val="true"/>
          <w:trHeight w:val="214" w:hRule="atLeast"/>
        </w:trPr>
        <w:tc>
          <w:tcPr>
            <w:tcW w:w="551"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67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27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841"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02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69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2019</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2020</w:t>
            </w:r>
          </w:p>
        </w:tc>
        <w:tc>
          <w:tcPr>
            <w:tcW w:w="114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2021</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2022</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2023</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07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r>
      <w:tr>
        <w:trPr>
          <w:tblHeader w:val="true"/>
          <w:trHeight w:val="214" w:hRule="atLeast"/>
        </w:trPr>
        <w:tc>
          <w:tcPr>
            <w:tcW w:w="551" w:type="dxa"/>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678" w:type="dxa"/>
            <w:gridSpan w:val="2"/>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273" w:type="dxa"/>
            <w:gridSpan w:val="2"/>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841" w:type="dxa"/>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022" w:type="dxa"/>
            <w:gridSpan w:val="2"/>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690"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r>
          </w:p>
        </w:tc>
        <w:tc>
          <w:tcPr>
            <w:tcW w:w="675"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570" w:type="dxa"/>
            <w:tcBorders>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п</w:t>
            </w:r>
          </w:p>
        </w:tc>
        <w:tc>
          <w:tcPr>
            <w:tcW w:w="570" w:type="dxa"/>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ф</w:t>
            </w:r>
          </w:p>
        </w:tc>
        <w:tc>
          <w:tcPr>
            <w:tcW w:w="675"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r>
          </w:p>
        </w:tc>
        <w:tc>
          <w:tcPr>
            <w:tcW w:w="734"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070"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r>
      <w:tr>
        <w:trPr>
          <w:trHeight w:val="101" w:hRule="atLeast"/>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1. </w:t>
            </w:r>
            <w:r>
              <w:rPr>
                <w:rFonts w:eastAsia="Calibri" w:ascii="Times New Roman" w:hAnsi="Times New Roman" w:eastAsiaTheme="minorHAnsi"/>
                <w:b/>
                <w:sz w:val="26"/>
                <w:szCs w:val="26"/>
              </w:rPr>
              <w:t>Рынок розничной торговли</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ind w:firstLine="572"/>
              <w:jc w:val="both"/>
              <w:rPr>
                <w:rFonts w:ascii="Times New Roman" w:hAnsi="Times New Roman" w:cs="Times New Roman"/>
                <w:sz w:val="26"/>
                <w:szCs w:val="26"/>
              </w:rPr>
            </w:pPr>
            <w:r>
              <w:rPr>
                <w:rFonts w:cs="Times New Roman" w:ascii="Times New Roman" w:hAnsi="Times New Roman"/>
                <w:sz w:val="26"/>
                <w:szCs w:val="26"/>
              </w:rPr>
              <w:t xml:space="preserve">На </w:t>
            </w:r>
            <w:r>
              <w:rPr>
                <w:rFonts w:cs="Times New Roman" w:ascii="Times New Roman" w:hAnsi="Times New Roman"/>
                <w:sz w:val="26"/>
                <w:szCs w:val="26"/>
                <w:lang w:val="en-US"/>
              </w:rPr>
              <w:t>01.</w:t>
            </w:r>
            <w:r>
              <w:rPr>
                <w:rFonts w:cs="Times New Roman" w:ascii="Times New Roman" w:hAnsi="Times New Roman"/>
                <w:sz w:val="26"/>
                <w:szCs w:val="26"/>
                <w:lang w:val="en-US"/>
              </w:rPr>
              <w:t>10</w:t>
            </w:r>
            <w:r>
              <w:rPr>
                <w:rFonts w:cs="Times New Roman" w:ascii="Times New Roman" w:hAnsi="Times New Roman"/>
                <w:sz w:val="26"/>
                <w:szCs w:val="26"/>
                <w:lang w:val="en-US"/>
              </w:rPr>
              <w:t>.2021</w:t>
            </w:r>
            <w:r>
              <w:rPr>
                <w:rFonts w:cs="Times New Roman" w:ascii="Times New Roman" w:hAnsi="Times New Roman"/>
                <w:sz w:val="26"/>
                <w:szCs w:val="26"/>
              </w:rPr>
              <w:t xml:space="preserve"> структура торговой сети Дальнереченского муниципального района представлена </w:t>
            </w:r>
            <w:r>
              <w:rPr>
                <w:rFonts w:cs="Times New Roman" w:ascii="Times New Roman" w:hAnsi="Times New Roman"/>
                <w:color w:val="000000"/>
                <w:sz w:val="26"/>
                <w:szCs w:val="26"/>
                <w:shd w:fill="auto" w:val="clear"/>
              </w:rPr>
              <w:t>7</w:t>
            </w:r>
            <w:r>
              <w:rPr>
                <w:rFonts w:cs="Times New Roman" w:ascii="Times New Roman" w:hAnsi="Times New Roman"/>
                <w:color w:val="000000"/>
                <w:sz w:val="26"/>
                <w:szCs w:val="26"/>
                <w:shd w:fill="auto" w:val="clear"/>
                <w:lang w:val="en-US"/>
              </w:rPr>
              <w:t>4</w:t>
            </w:r>
            <w:r>
              <w:rPr>
                <w:rFonts w:cs="Times New Roman" w:ascii="Times New Roman" w:hAnsi="Times New Roman"/>
                <w:sz w:val="26"/>
                <w:szCs w:val="26"/>
              </w:rPr>
              <w:t xml:space="preserve"> торговыми объектами. Такое количество предприятий торговли в целом обеспечивает потребность населения района в товарах первой необходимости. Ассортимент наблюдаемых продуктов питания на прилавках торговых предприятий района остается стабильным. Однако рынок торговли непродовольственными и узкоспециализированными товарами, а также товарами высокого качества по-прежнему остается недостаточно насыщенным. Потребительский рынок Дальнереченского муниципального района характеризуется низкой конкурентной средой, которая  способствует недостаточному формированию торговой инфраструктуры на территории района, развитию и насыщению товарных рынков, и удовлетворению потребностей населения в товарах, внедрению новых форм обслуживания покупателей. Основными причинами, препятствующими развитию торговых сетей, являются удалённость района от основных товаропроизводящих и распределительных центров, а также низкая плотность населения Дальнереченского муниципального района, и  как следствие, отсутствие необходимого покупательского потока для окупаемости сети и извлечения запланированной прибыли. Конкурентная среда создается с целью повешения удовлетворенности потребителей качеством товаров и услуг.</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1.1</w:t>
            </w:r>
          </w:p>
        </w:tc>
        <w:tc>
          <w:tcPr>
            <w:tcW w:w="267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Проведение семинаров, рабочих встреч по вопросам требований действующего законодательства к осуществлению торговой деятельности, роли конкуренции в развитии торговой деятельности, выявления административных барьеров в торговле на территории Дальнереченского муниципального района</w:t>
            </w:r>
          </w:p>
        </w:tc>
        <w:tc>
          <w:tcPr>
            <w:tcW w:w="12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Сентябрь</w:t>
            </w:r>
          </w:p>
        </w:tc>
        <w:tc>
          <w:tcPr>
            <w:tcW w:w="18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Доля организаций частной формы собственности в сфере торговли</w:t>
            </w:r>
          </w:p>
        </w:tc>
        <w:tc>
          <w:tcPr>
            <w:tcW w:w="102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60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65</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70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70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75</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80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экономики администрации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Консультирование предпринимателей, занимающихся торговой деятельностью по интересующим их вопросам.</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1.2</w:t>
            </w:r>
          </w:p>
        </w:tc>
        <w:tc>
          <w:tcPr>
            <w:tcW w:w="267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Сохранение сетей магазинов, нестационарных торговых точек шаговой доступности</w:t>
            </w:r>
          </w:p>
        </w:tc>
        <w:tc>
          <w:tcPr>
            <w:tcW w:w="1273" w:type="dxa"/>
            <w:gridSpan w:val="2"/>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2019-2023</w:t>
            </w:r>
          </w:p>
        </w:tc>
        <w:tc>
          <w:tcPr>
            <w:tcW w:w="184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r>
          </w:p>
        </w:tc>
        <w:tc>
          <w:tcPr>
            <w:tcW w:w="1022" w:type="dxa"/>
            <w:gridSpan w:val="2"/>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экономики администрации Дальнереченского муниципального района</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Главы сельских поселений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Удовлетворение спроса населения на потребительские товары и услуги за счет наличия сети магазинов шаговой доступности на территории</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Дальнереченского муниципального района</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2. </w:t>
            </w:r>
            <w:r>
              <w:rPr>
                <w:rFonts w:eastAsia="Calibri" w:ascii="Times New Roman" w:hAnsi="Times New Roman" w:eastAsiaTheme="minorHAnsi"/>
                <w:b/>
                <w:sz w:val="26"/>
                <w:szCs w:val="26"/>
              </w:rPr>
              <w:t>Рынок дорожной деятельности (за исключением проектирования)</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72"/>
              <w:jc w:val="both"/>
              <w:rPr>
                <w:rFonts w:ascii="Times New Roman" w:hAnsi="Times New Roman"/>
                <w:sz w:val="26"/>
                <w:szCs w:val="26"/>
              </w:rPr>
            </w:pPr>
            <w:r>
              <w:rPr>
                <w:rFonts w:ascii="Times New Roman" w:hAnsi="Times New Roman"/>
                <w:sz w:val="26"/>
                <w:szCs w:val="26"/>
              </w:rPr>
              <w:t>На территории Дальнереченского муниципального района на рынке дорожной деятельности функционируют</w:t>
            </w:r>
            <w:r>
              <w:rPr>
                <w:rFonts w:ascii="Times New Roman" w:hAnsi="Times New Roman"/>
                <w:color w:val="000000"/>
                <w:sz w:val="26"/>
                <w:szCs w:val="26"/>
                <w:shd w:fill="auto" w:val="clear"/>
                <w:lang w:val="en-US"/>
              </w:rPr>
              <w:t xml:space="preserve"> 3 </w:t>
            </w:r>
            <w:r>
              <w:rPr>
                <w:rFonts w:ascii="Times New Roman" w:hAnsi="Times New Roman"/>
                <w:color w:val="000000"/>
                <w:sz w:val="26"/>
                <w:szCs w:val="26"/>
                <w:shd w:fill="auto" w:val="clear"/>
              </w:rPr>
              <w:t>пр</w:t>
            </w:r>
            <w:r>
              <w:rPr>
                <w:rFonts w:ascii="Times New Roman" w:hAnsi="Times New Roman"/>
                <w:sz w:val="26"/>
                <w:szCs w:val="26"/>
              </w:rPr>
              <w:t>едприятия различных форм собственност</w:t>
            </w:r>
            <w:r>
              <w:rPr>
                <w:rFonts w:ascii="Times New Roman" w:hAnsi="Times New Roman"/>
                <w:sz w:val="26"/>
                <w:szCs w:val="26"/>
                <w:shd w:fill="auto" w:val="clear"/>
              </w:rPr>
              <w:t>и,</w:t>
            </w:r>
            <w:r>
              <w:rPr>
                <w:rFonts w:ascii="Times New Roman" w:hAnsi="Times New Roman"/>
                <w:sz w:val="26"/>
                <w:szCs w:val="26"/>
                <w:shd w:fill="auto" w:val="clear"/>
                <w:lang w:val="en-US"/>
              </w:rPr>
              <w:t xml:space="preserve"> д</w:t>
            </w:r>
            <w:r>
              <w:rPr>
                <w:rFonts w:ascii="Times New Roman" w:hAnsi="Times New Roman"/>
                <w:sz w:val="26"/>
                <w:szCs w:val="26"/>
                <w:shd w:fill="auto" w:val="clear"/>
                <w:lang w:val="ru-RU"/>
              </w:rPr>
              <w:t xml:space="preserve">ва </w:t>
            </w:r>
            <w:r>
              <w:rPr>
                <w:rFonts w:ascii="Times New Roman" w:hAnsi="Times New Roman"/>
                <w:sz w:val="26"/>
                <w:szCs w:val="26"/>
                <w:shd w:fill="auto" w:val="clear"/>
              </w:rPr>
              <w:t>и</w:t>
            </w:r>
            <w:r>
              <w:rPr>
                <w:rFonts w:ascii="Times New Roman" w:hAnsi="Times New Roman"/>
                <w:sz w:val="26"/>
                <w:szCs w:val="26"/>
              </w:rPr>
              <w:t>з них частный хозяйствующий субъект. Реализация мероприятий по содействию развития конкуренции на данном рынке направлена на сохранение сложившегося уровня конкурентных отношений. Финансирование работ по содержанию дорог местного значения осуществляется за счет средств дорожного фонда.</w:t>
            </w:r>
            <w:r>
              <w:rPr>
                <w:rFonts w:eastAsia="Times New Roman" w:ascii="Times New Roman" w:hAnsi="Times New Roman"/>
                <w:sz w:val="26"/>
                <w:szCs w:val="26"/>
                <w:lang w:eastAsia="ru-RU"/>
              </w:rPr>
              <w:t xml:space="preserve"> Процесс совершенствования дорожной сети окажет существенное влияние на социально-экономическое развитие Дальнереченского муниципального района.</w:t>
            </w:r>
          </w:p>
          <w:p>
            <w:pPr>
              <w:pStyle w:val="Normal"/>
              <w:widowControl w:val="false"/>
              <w:spacing w:lineRule="auto" w:line="240" w:before="0" w:after="0"/>
              <w:ind w:firstLine="720"/>
              <w:jc w:val="both"/>
              <w:rPr>
                <w:rFonts w:ascii="Times New Roman" w:hAnsi="Times New Roman"/>
                <w:color w:val="000000"/>
                <w:sz w:val="26"/>
                <w:szCs w:val="26"/>
                <w:lang w:eastAsia="ru-RU"/>
              </w:rPr>
            </w:pPr>
            <w:r>
              <w:rPr>
                <w:rFonts w:ascii="Times New Roman" w:hAnsi="Times New Roman"/>
                <w:color w:val="000000"/>
                <w:sz w:val="26"/>
                <w:szCs w:val="26"/>
                <w:lang w:eastAsia="ru-RU"/>
              </w:rPr>
              <w:t>Работы по ремонту и содержанию улиц, а также нанесению дорожной разметки и установки дорожных знаков на территории населенных пунктов осуществляются по результатам проведённых с подрядными организациями аукционов  на выполнение работ по реконструкции, капитальному ремонту, ремонт улично-дорожной сети, нанесению на нее дорожной разметки и установки дорожных знаков.</w:t>
            </w:r>
          </w:p>
          <w:p>
            <w:pPr>
              <w:pStyle w:val="ConsPlusNormal"/>
              <w:widowControl w:val="false"/>
              <w:spacing w:lineRule="auto" w:line="240"/>
              <w:ind w:firstLine="720"/>
              <w:jc w:val="both"/>
              <w:rPr>
                <w:rFonts w:ascii="Times New Roman" w:hAnsi="Times New Roman"/>
                <w:sz w:val="26"/>
                <w:szCs w:val="26"/>
              </w:rPr>
            </w:pPr>
            <w:r>
              <w:rPr>
                <w:rFonts w:ascii="Times New Roman" w:hAnsi="Times New Roman"/>
                <w:color w:val="000000"/>
                <w:sz w:val="26"/>
                <w:szCs w:val="26"/>
              </w:rPr>
              <w:t>Основными факторами, сдерживающими развитие конкуренции на рынке дорожной деятельности, являются необходимость осуществления значительных первоначальных капитальных вложений при длительных сроках окупаемости этих вложений, высокая стоимость материалов и конструкций, недостаток квалифицированных рабочих.</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2.1</w:t>
            </w:r>
          </w:p>
        </w:tc>
        <w:tc>
          <w:tcPr>
            <w:tcW w:w="267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Развитие механизма привлечения хозяйствующих субъектов различных форм собственности к выполнению работ, связанных с дорожной деятельностью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Доля организаций частной формы собственности в сфере дорожной деятельности (за исключением проектирования)</w:t>
            </w:r>
          </w:p>
        </w:tc>
        <w:tc>
          <w:tcPr>
            <w:tcW w:w="10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архитектуры, градостроительства и ЖКХ администрации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Развитие конкуренции и обеспечение равных условий на рынке услуг в сфере дорожной деятельности</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3. </w:t>
            </w:r>
            <w:r>
              <w:rPr>
                <w:rFonts w:eastAsia="Calibri" w:ascii="Times New Roman" w:hAnsi="Times New Roman" w:eastAsiaTheme="minorHAnsi"/>
                <w:b/>
                <w:sz w:val="26"/>
                <w:szCs w:val="26"/>
              </w:rPr>
              <w:t>Рынок выполнения работ по благоустройству городской среды</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ind w:firstLine="648"/>
              <w:jc w:val="both"/>
              <w:rPr>
                <w:rFonts w:ascii="Times New Roman" w:hAnsi="Times New Roman"/>
                <w:sz w:val="26"/>
                <w:szCs w:val="26"/>
              </w:rPr>
            </w:pPr>
            <w:r>
              <w:rPr>
                <w:rFonts w:cs="Times New Roman" w:ascii="Times New Roman" w:hAnsi="Times New Roman"/>
                <w:sz w:val="26"/>
                <w:szCs w:val="26"/>
              </w:rPr>
              <w:t>Важным индикатором качества жизни людей, формирующим комфорт проживания на территории, является благоустройство территорий проживания. Выполнение работ осуществляется  по итогам проведения торгов,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Доля организаций частной формы собственности в сфере выполнения работ по благоустройству городской среды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pPr>
              <w:pStyle w:val="ConsPlusNormal"/>
              <w:widowControl w:val="false"/>
              <w:spacing w:lineRule="auto" w:line="240"/>
              <w:ind w:firstLine="648"/>
              <w:jc w:val="both"/>
              <w:rPr>
                <w:rFonts w:ascii="Times New Roman" w:hAnsi="Times New Roman"/>
                <w:sz w:val="26"/>
                <w:szCs w:val="26"/>
              </w:rPr>
            </w:pPr>
            <w:r>
              <w:rPr>
                <w:rFonts w:cs="Times New Roman" w:ascii="Times New Roman" w:hAnsi="Times New Roman"/>
                <w:sz w:val="26"/>
                <w:szCs w:val="26"/>
              </w:rPr>
              <w:t>На территории Дальнереченского муниципального района было обустроено</w:t>
            </w:r>
            <w:r>
              <w:rPr>
                <w:rFonts w:cs="Times New Roman" w:ascii="Times New Roman" w:hAnsi="Times New Roman"/>
                <w:sz w:val="26"/>
                <w:szCs w:val="26"/>
                <w:lang w:val="en-US"/>
              </w:rPr>
              <w:t xml:space="preserve"> </w:t>
            </w:r>
            <w:r>
              <w:rPr>
                <w:rFonts w:cs="Times New Roman" w:ascii="Times New Roman" w:hAnsi="Times New Roman"/>
                <w:sz w:val="26"/>
                <w:szCs w:val="26"/>
                <w:lang w:val="en-US"/>
              </w:rPr>
              <w:t>4</w:t>
            </w:r>
            <w:r>
              <w:rPr>
                <w:rFonts w:cs="Times New Roman" w:ascii="Times New Roman" w:hAnsi="Times New Roman"/>
                <w:sz w:val="26"/>
                <w:szCs w:val="26"/>
                <w:lang w:val="en-US"/>
              </w:rPr>
              <w:t xml:space="preserve"> </w:t>
            </w:r>
            <w:r>
              <w:rPr>
                <w:rFonts w:cs="Times New Roman" w:ascii="Times New Roman" w:hAnsi="Times New Roman"/>
                <w:sz w:val="26"/>
                <w:szCs w:val="26"/>
              </w:rPr>
              <w:t>общественных территорий (в</w:t>
            </w:r>
            <w:r>
              <w:rPr>
                <w:rFonts w:cs="Times New Roman" w:ascii="Times New Roman" w:hAnsi="Times New Roman"/>
                <w:sz w:val="26"/>
                <w:szCs w:val="26"/>
                <w:lang w:val="ru-RU"/>
              </w:rPr>
              <w:t xml:space="preserve"> </w:t>
            </w:r>
            <w:r>
              <w:rPr>
                <w:rFonts w:cs="Times New Roman" w:ascii="Times New Roman" w:hAnsi="Times New Roman"/>
                <w:sz w:val="26"/>
                <w:szCs w:val="26"/>
                <w:lang w:val="en-US"/>
              </w:rPr>
              <w:t>т</w:t>
            </w:r>
            <w:r>
              <w:rPr>
                <w:rFonts w:cs="Times New Roman" w:ascii="Times New Roman" w:hAnsi="Times New Roman"/>
                <w:sz w:val="26"/>
                <w:szCs w:val="26"/>
                <w:lang w:val="en-US"/>
              </w:rPr>
              <w:t>ре</w:t>
            </w:r>
            <w:r>
              <w:rPr>
                <w:rFonts w:cs="Times New Roman" w:ascii="Times New Roman" w:hAnsi="Times New Roman"/>
                <w:sz w:val="26"/>
                <w:szCs w:val="26"/>
                <w:lang w:val="ru-RU"/>
              </w:rPr>
              <w:t>х</w:t>
            </w:r>
            <w:r>
              <w:rPr>
                <w:rFonts w:cs="Times New Roman" w:ascii="Times New Roman" w:hAnsi="Times New Roman"/>
                <w:sz w:val="26"/>
                <w:szCs w:val="26"/>
                <w:lang w:val="en-US"/>
              </w:rPr>
              <w:t xml:space="preserve"> </w:t>
            </w:r>
            <w:r>
              <w:rPr>
                <w:rFonts w:cs="Times New Roman" w:ascii="Times New Roman" w:hAnsi="Times New Roman"/>
                <w:sz w:val="26"/>
                <w:szCs w:val="26"/>
              </w:rPr>
              <w:t>поселениях района).</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3.1</w:t>
            </w:r>
          </w:p>
        </w:tc>
        <w:tc>
          <w:tcPr>
            <w:tcW w:w="26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sz w:val="26"/>
                <w:szCs w:val="26"/>
              </w:rPr>
            </w:pPr>
            <w:r>
              <w:rPr>
                <w:rFonts w:ascii="Times New Roman" w:hAnsi="Times New Roman"/>
                <w:sz w:val="26"/>
                <w:szCs w:val="26"/>
              </w:rPr>
              <w:t>доля организаций частной формы собственности в сфере выполнения работ по благоустройству городской среды</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архитектуры, градостроительства и ЖКХ администрации Дальнереченского муниципального района,</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Главы сельских поселений.</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sz w:val="26"/>
                <w:szCs w:val="26"/>
              </w:rPr>
            </w:pPr>
            <w:r>
              <w:rPr>
                <w:rFonts w:ascii="Times New Roman" w:hAnsi="Times New Roman"/>
                <w:sz w:val="26"/>
                <w:szCs w:val="26"/>
              </w:rPr>
              <w:t>Увеличение доли организаций частной формы собственности, осуществляющих деятельность на рынке благоустройства городской среды</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3.2</w:t>
            </w:r>
          </w:p>
        </w:tc>
        <w:tc>
          <w:tcPr>
            <w:tcW w:w="26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Информирование в средствах массовой информации о реализации мероприятий в рамках национального проекта «Жилье и городская среда» приоритетного проекта «Формирование комфортной городской среды»</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Times New Roman" w:ascii="Times New Roman" w:hAnsi="Times New Roman" w:eastAsiaTheme="minorHAnsi"/>
                <w:color w:val="auto"/>
                <w:kern w:val="0"/>
                <w:sz w:val="26"/>
                <w:szCs w:val="26"/>
                <w:lang w:val="ru-RU" w:eastAsia="en-US" w:bidi="ar-SA"/>
              </w:rPr>
              <w:t>Д</w:t>
            </w:r>
            <w:r>
              <w:rPr>
                <w:rFonts w:ascii="Times New Roman" w:hAnsi="Times New Roman"/>
                <w:sz w:val="26"/>
                <w:szCs w:val="26"/>
              </w:rPr>
              <w:t>оля организаций частной формы собственности в сфере выполнения работ по благоустройству городской среды</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lang w:val="ru-RU"/>
              </w:rPr>
              <w:t>П</w:t>
            </w:r>
            <w:r>
              <w:rPr>
                <w:rFonts w:ascii="Times New Roman" w:hAnsi="Times New Roman"/>
                <w:sz w:val="26"/>
                <w:szCs w:val="26"/>
              </w:rPr>
              <w:t>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архитектуры, градостроительства и ЖКХ администрации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 xml:space="preserve">Регулярное обновление информации на официальном сайте администрации Дальнереченского муниципального района, оповещение населения через  социальные сети Одноклассники, </w:t>
            </w:r>
            <w:r>
              <w:rPr>
                <w:rFonts w:cs="Times New Roman" w:ascii="Times New Roman" w:hAnsi="Times New Roman"/>
                <w:sz w:val="26"/>
                <w:szCs w:val="26"/>
                <w:lang w:val="en-US"/>
              </w:rPr>
              <w:t xml:space="preserve">Instagram, </w:t>
            </w:r>
            <w:r>
              <w:rPr>
                <w:rFonts w:cs="Times New Roman" w:ascii="Times New Roman" w:hAnsi="Times New Roman"/>
                <w:sz w:val="26"/>
                <w:szCs w:val="26"/>
                <w:lang w:val="ru-RU"/>
              </w:rPr>
              <w:t>Faceboo</w:t>
            </w:r>
            <w:r>
              <w:rPr>
                <w:rFonts w:cs="Times New Roman" w:ascii="Times New Roman" w:hAnsi="Times New Roman"/>
                <w:sz w:val="26"/>
                <w:szCs w:val="26"/>
                <w:lang w:val="en-US"/>
              </w:rPr>
              <w:t xml:space="preserve">k </w:t>
            </w:r>
            <w:r>
              <w:rPr>
                <w:rFonts w:cs="Times New Roman" w:ascii="Times New Roman" w:hAnsi="Times New Roman"/>
                <w:sz w:val="26"/>
                <w:szCs w:val="26"/>
              </w:rPr>
              <w:t xml:space="preserve">о реализованных мероприятиях в рамках  </w:t>
            </w:r>
            <w:r>
              <w:rPr>
                <w:rFonts w:cs="Times New Roman" w:ascii="Times New Roman" w:hAnsi="Times New Roman"/>
                <w:sz w:val="26"/>
                <w:szCs w:val="26"/>
              </w:rPr>
              <w:t>региональных</w:t>
            </w:r>
            <w:r>
              <w:rPr>
                <w:rFonts w:cs="Times New Roman" w:ascii="Times New Roman" w:hAnsi="Times New Roman"/>
                <w:sz w:val="26"/>
                <w:szCs w:val="26"/>
              </w:rPr>
              <w:t xml:space="preserve"> проект</w:t>
            </w:r>
            <w:r>
              <w:rPr>
                <w:rFonts w:cs="Times New Roman" w:ascii="Times New Roman" w:hAnsi="Times New Roman"/>
                <w:sz w:val="26"/>
                <w:szCs w:val="26"/>
              </w:rPr>
              <w:t>ов.</w:t>
            </w:r>
          </w:p>
        </w:tc>
      </w:tr>
      <w:tr>
        <w:trPr>
          <w:trHeight w:val="299" w:hRule="atLeast"/>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4. </w:t>
            </w:r>
            <w:r>
              <w:rPr>
                <w:rFonts w:eastAsia="Calibri" w:ascii="Times New Roman" w:hAnsi="Times New Roman" w:eastAsiaTheme="minorHAnsi"/>
                <w:b/>
                <w:sz w:val="26"/>
                <w:szCs w:val="26"/>
              </w:rPr>
              <w:t>Рынок оказания услуг по перевозке пассажиров автомобильным транспортом</w:t>
            </w:r>
          </w:p>
          <w:p>
            <w:pPr>
              <w:pStyle w:val="Normal"/>
              <w:widowControl w:val="false"/>
              <w:spacing w:lineRule="auto" w:line="240" w:before="0" w:after="0"/>
              <w:jc w:val="center"/>
              <w:rPr>
                <w:rFonts w:ascii="Times New Roman" w:hAnsi="Times New Roman"/>
                <w:b/>
                <w:b/>
                <w:sz w:val="26"/>
                <w:szCs w:val="26"/>
              </w:rPr>
            </w:pPr>
            <w:r>
              <w:rPr>
                <w:rFonts w:eastAsia="Calibri" w:ascii="Times New Roman" w:hAnsi="Times New Roman" w:eastAsiaTheme="minorHAnsi"/>
                <w:b/>
                <w:sz w:val="26"/>
                <w:szCs w:val="26"/>
              </w:rPr>
              <w:t xml:space="preserve"> </w:t>
            </w:r>
            <w:r>
              <w:rPr>
                <w:rFonts w:eastAsia="Calibri" w:ascii="Times New Roman" w:hAnsi="Times New Roman" w:eastAsiaTheme="minorHAnsi"/>
                <w:b/>
                <w:sz w:val="26"/>
                <w:szCs w:val="26"/>
              </w:rPr>
              <w:t>по муниципальным маршрутам регулярных перевозок</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708"/>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 повышение качества и эффективности транспортного обслуживания населения.</w:t>
            </w:r>
          </w:p>
          <w:p>
            <w:pPr>
              <w:pStyle w:val="Normal"/>
              <w:widowControl w:val="false"/>
              <w:spacing w:lineRule="auto" w:line="240" w:before="0" w:after="0"/>
              <w:ind w:firstLine="708"/>
              <w:jc w:val="both"/>
              <w:rPr>
                <w:rFonts w:ascii="Times New Roman" w:hAnsi="Times New Roman"/>
                <w:sz w:val="26"/>
                <w:szCs w:val="26"/>
              </w:rPr>
            </w:pPr>
            <w:r>
              <w:rPr>
                <w:rFonts w:ascii="Times New Roman" w:hAnsi="Times New Roman"/>
                <w:sz w:val="26"/>
                <w:szCs w:val="26"/>
              </w:rPr>
              <w:t xml:space="preserve">На территории Дальнереченского муниципального района осуществляются пассажирские перевозки по </w:t>
            </w:r>
            <w:r>
              <w:rPr>
                <w:rFonts w:ascii="Times New Roman" w:hAnsi="Times New Roman"/>
                <w:sz w:val="26"/>
                <w:szCs w:val="26"/>
                <w:shd w:fill="auto" w:val="clear"/>
              </w:rPr>
              <w:t>8 муниципальным маршрутам.</w:t>
            </w:r>
          </w:p>
          <w:p>
            <w:pPr>
              <w:pStyle w:val="Normal"/>
              <w:widowControl w:val="false"/>
              <w:spacing w:lineRule="auto" w:line="240" w:before="0" w:after="0"/>
              <w:ind w:firstLine="708"/>
              <w:jc w:val="both"/>
              <w:rPr>
                <w:rFonts w:ascii="Times New Roman" w:hAnsi="Times New Roman"/>
                <w:sz w:val="26"/>
                <w:szCs w:val="26"/>
              </w:rPr>
            </w:pPr>
            <w:r>
              <w:rPr>
                <w:rFonts w:ascii="Times New Roman" w:hAnsi="Times New Roman"/>
                <w:sz w:val="26"/>
                <w:szCs w:val="26"/>
              </w:rPr>
              <w:t>На рынке услуг по перевозке пассажиров автомобильным транспортом по муниципальным маршрутам регулярных перевозок функционируют</w:t>
            </w:r>
            <w:r>
              <w:rPr>
                <w:rFonts w:ascii="Times New Roman" w:hAnsi="Times New Roman"/>
                <w:sz w:val="26"/>
                <w:szCs w:val="26"/>
                <w:shd w:fill="auto" w:val="clear"/>
              </w:rPr>
              <w:t xml:space="preserve"> 2</w:t>
            </w:r>
            <w:r>
              <w:rPr>
                <w:rFonts w:ascii="Times New Roman" w:hAnsi="Times New Roman"/>
                <w:sz w:val="26"/>
                <w:szCs w:val="26"/>
                <w:shd w:fill="auto" w:val="clear"/>
                <w:lang w:val="en-US"/>
              </w:rPr>
              <w:t xml:space="preserve"> </w:t>
            </w:r>
            <w:r>
              <w:rPr>
                <w:rFonts w:ascii="Times New Roman" w:hAnsi="Times New Roman"/>
                <w:sz w:val="26"/>
                <w:szCs w:val="26"/>
                <w:shd w:fill="auto" w:val="clear"/>
              </w:rPr>
              <w:t>пред</w:t>
            </w:r>
            <w:r>
              <w:rPr>
                <w:rFonts w:ascii="Times New Roman" w:hAnsi="Times New Roman"/>
                <w:sz w:val="26"/>
                <w:szCs w:val="26"/>
              </w:rPr>
              <w:t xml:space="preserve">приятия частной формы собственности. </w:t>
            </w:r>
            <w:r>
              <w:rPr>
                <w:rFonts w:eastAsia="Calibri" w:cs="Times New Roman" w:ascii="Times New Roman" w:hAnsi="Times New Roman"/>
                <w:i w:val="false"/>
                <w:iCs w:val="false"/>
                <w:color w:val="000000"/>
                <w:kern w:val="0"/>
                <w:sz w:val="26"/>
                <w:szCs w:val="26"/>
                <w:lang w:val="ru-RU" w:eastAsia="en-US" w:bidi="ar-SA"/>
              </w:rPr>
              <w:t>П</w:t>
            </w:r>
            <w:r>
              <w:rPr>
                <w:rFonts w:eastAsia="Calibri" w:cs="Times New Roman" w:ascii="Times New Roman" w:hAnsi="Times New Roman"/>
                <w:i w:val="false"/>
                <w:iCs w:val="false"/>
                <w:color w:val="000000"/>
                <w:kern w:val="0"/>
                <w:sz w:val="26"/>
                <w:szCs w:val="26"/>
                <w:u w:val="none"/>
                <w:lang w:val="ru-RU" w:eastAsia="en-US" w:bidi="ar-SA"/>
              </w:rPr>
              <w:t>еревозки по муниципальным маршрутам осуществляются по (нерегулируемому-1 маршрут, регулируемому-7 маршрутов)  тарифу.</w:t>
            </w:r>
          </w:p>
          <w:p>
            <w:pPr>
              <w:pStyle w:val="Normal"/>
              <w:widowControl w:val="false"/>
              <w:spacing w:lineRule="auto" w:line="240" w:before="0" w:after="0"/>
              <w:ind w:firstLine="708"/>
              <w:jc w:val="both"/>
              <w:rPr>
                <w:rFonts w:ascii="Times New Roman" w:hAnsi="Times New Roman"/>
                <w:sz w:val="26"/>
                <w:szCs w:val="26"/>
              </w:rPr>
            </w:pPr>
            <w:r>
              <w:rPr>
                <w:rFonts w:ascii="Times New Roman" w:hAnsi="Times New Roman"/>
                <w:sz w:val="26"/>
                <w:szCs w:val="26"/>
              </w:rPr>
              <w:t>При этом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перевозки пассажиров и багажа автобусом относятся к регулярным перевозкам по регулируемым тарифам согласно статье 14 Закона. Основным показателем характеристики входа на рынок услуг является окупаемость муниципального маршрута. Ввиду невысокого пассажиропотока окупаемость маршрута низкая.  При несоответствии качества и состояния автомобильных дорог техническое состояние автобусного парка перевозчиков  не удовлетворяет требованиям. Администрация Дальнереченского муниципального района осуществляет конкурентные закупки в отношении оказания услуг по перевозке пассажиров и багажа автотранспортом путем проведения электронных аукционов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Конкурентные закупки в отношении оказания услуг по перевозке пассажиров и багажа автотранспортом размещаются на Единой электронной площадке, т.е. создаются равные условия доступа для участия в закупках для всех потенциальных участников.</w:t>
            </w:r>
          </w:p>
          <w:p>
            <w:pPr>
              <w:pStyle w:val="Normal"/>
              <w:widowControl w:val="false"/>
              <w:spacing w:lineRule="auto" w:line="240" w:before="0" w:after="0"/>
              <w:ind w:firstLine="572"/>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firstLine="708"/>
              <w:jc w:val="both"/>
              <w:rPr>
                <w:rFonts w:ascii="Times New Roman" w:hAnsi="Times New Roman"/>
                <w:sz w:val="26"/>
                <w:szCs w:val="26"/>
              </w:rPr>
            </w:pPr>
            <w:r>
              <w:rPr>
                <w:rFonts w:ascii="Times New Roman" w:hAnsi="Times New Roman"/>
                <w:sz w:val="26"/>
                <w:szCs w:val="26"/>
              </w:rPr>
              <w:t>Проблемные вопросы:</w:t>
            </w:r>
          </w:p>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 отсутствие конкуренции на рынке перевозок пассажиров</w:t>
            </w:r>
            <w:r>
              <w:rPr>
                <w:rFonts w:eastAsia="Calibri" w:cs="Times New Roman" w:ascii="Times New Roman" w:hAnsi="Times New Roman" w:eastAsiaTheme="minorHAnsi"/>
                <w:sz w:val="26"/>
                <w:szCs w:val="26"/>
              </w:rPr>
              <w:t xml:space="preserve"> автомобильным транспортом;</w:t>
            </w:r>
          </w:p>
          <w:p>
            <w:pPr>
              <w:pStyle w:val="ConsPlusNormal"/>
              <w:widowControl w:val="false"/>
              <w:spacing w:lineRule="auto" w:line="240"/>
              <w:rPr>
                <w:rFonts w:ascii="Times New Roman" w:hAnsi="Times New Roman" w:eastAsia="Calibri" w:cs="Times New Roman"/>
                <w:sz w:val="26"/>
                <w:szCs w:val="26"/>
              </w:rPr>
            </w:pPr>
            <w:r>
              <w:rPr>
                <w:rFonts w:eastAsia="Calibri" w:cs="Times New Roman" w:ascii="Times New Roman" w:hAnsi="Times New Roman" w:eastAsiaTheme="minorHAnsi"/>
                <w:sz w:val="26"/>
                <w:szCs w:val="26"/>
              </w:rPr>
              <w:t>- убыточность пассажирских перевозок.</w:t>
            </w:r>
          </w:p>
          <w:p>
            <w:pPr>
              <w:pStyle w:val="ConsPlusNormal"/>
              <w:widowControl w:val="false"/>
              <w:spacing w:lineRule="auto" w:line="240"/>
              <w:rPr>
                <w:rFonts w:ascii="Times New Roman" w:hAnsi="Times New Roman" w:eastAsia="Calibri" w:cs="Times New Roman"/>
                <w:sz w:val="26"/>
                <w:szCs w:val="26"/>
              </w:rPr>
            </w:pPr>
            <w:r>
              <w:rPr>
                <w:rFonts w:eastAsia="Calibri" w:cs="Times New Roman" w:ascii="Times New Roman" w:hAnsi="Times New Roman" w:eastAsiaTheme="minorHAnsi"/>
                <w:sz w:val="26"/>
                <w:szCs w:val="26"/>
              </w:rPr>
              <w:t>Задачи:</w:t>
            </w:r>
          </w:p>
          <w:p>
            <w:pPr>
              <w:pStyle w:val="ConsPlusNormal"/>
              <w:widowControl w:val="false"/>
              <w:spacing w:lineRule="auto" w:line="240"/>
              <w:rPr>
                <w:rFonts w:ascii="Times New Roman" w:hAnsi="Times New Roman" w:eastAsia="Calibri" w:cs="Times New Roman"/>
                <w:sz w:val="26"/>
                <w:szCs w:val="26"/>
              </w:rPr>
            </w:pPr>
            <w:r>
              <w:rPr>
                <w:rFonts w:eastAsia="Calibri" w:cs="Times New Roman" w:ascii="Times New Roman" w:hAnsi="Times New Roman" w:eastAsiaTheme="minorHAnsi"/>
                <w:sz w:val="26"/>
                <w:szCs w:val="26"/>
              </w:rPr>
              <w:t>- создание условий для развития конкуренции на рынке услуг пассажирских перевозок;</w:t>
            </w:r>
          </w:p>
          <w:p>
            <w:pPr>
              <w:pStyle w:val="ConsPlusNormal"/>
              <w:widowControl w:val="false"/>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rPr>
              <w:t>- развитие сектора негосударственных перевозчиков на муниципальных маршрутах пассажирского транспорта.</w:t>
            </w:r>
          </w:p>
        </w:tc>
      </w:tr>
      <w:tr>
        <w:trPr>
          <w:trHeight w:val="460" w:hRule="atLeast"/>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4.1</w:t>
            </w:r>
          </w:p>
        </w:tc>
        <w:tc>
          <w:tcPr>
            <w:tcW w:w="2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6"/>
                <w:szCs w:val="26"/>
              </w:rPr>
            </w:pPr>
            <w:r>
              <w:rPr>
                <w:rFonts w:ascii="Times New Roman" w:hAnsi="Times New Roman"/>
                <w:sz w:val="26"/>
                <w:szCs w:val="26"/>
              </w:rPr>
              <w:t>Мониторинг пассажиропотока и потребности в корректировке существующей маршрутной сети</w:t>
            </w:r>
          </w:p>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Доля размещенных нормативно-правовых актов в сфере пассажирских перевозок на официальных сайтах</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МКУ Административно-хозяйственное управление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Мониторинг пассажиропотока проводится регулярно. Внесение изменений в маршруты нет необходимости.</w:t>
            </w:r>
          </w:p>
        </w:tc>
      </w:tr>
      <w:tr>
        <w:trPr>
          <w:trHeight w:val="4552" w:hRule="atLeast"/>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4.2</w:t>
            </w:r>
          </w:p>
        </w:tc>
        <w:tc>
          <w:tcPr>
            <w:tcW w:w="2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Формирование сети маршрутов регулярных перевозок пассажиров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Доля размещенных нормативно-правовых актов в сфере пассажирских перевозок на официальных сайтах</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Calibri" w:cs="Times New Roman" w:ascii="Times New Roman" w:hAnsi="Times New Roman" w:eastAsiaTheme="minorHAnsi"/>
                <w:color w:val="auto"/>
                <w:kern w:val="0"/>
                <w:sz w:val="26"/>
                <w:szCs w:val="26"/>
                <w:lang w:val="ru-RU" w:eastAsia="en-US" w:bidi="ar-SA"/>
              </w:rPr>
              <w:t>П</w:t>
            </w:r>
            <w:r>
              <w:rPr>
                <w:rFonts w:ascii="Times New Roman" w:hAnsi="Times New Roman"/>
                <w:sz w:val="26"/>
                <w:szCs w:val="26"/>
              </w:rPr>
              <w:t>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МКУ Административно-хозяйственное управление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Сформирована сеть маршрутов регулярных перевозок.</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4.3</w:t>
            </w:r>
          </w:p>
        </w:tc>
        <w:tc>
          <w:tcPr>
            <w:tcW w:w="2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imes New Roman" w:hAnsi="Times New Roman"/>
                <w:bCs/>
                <w:sz w:val="26"/>
                <w:szCs w:val="26"/>
              </w:rPr>
            </w:pPr>
            <w:r>
              <w:rPr>
                <w:rFonts w:ascii="Times New Roman" w:hAnsi="Times New Roman"/>
                <w:bCs/>
                <w:sz w:val="26"/>
                <w:szCs w:val="26"/>
              </w:rPr>
              <w:t>Организация проведения электронных аукционов на право осуществления перевозок по муниципальным маршрутам регулярных перевозок автомобильным транспортом  по регулируемым тарифам</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Доля</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муниципальных маршрутов регулярных перевозок</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пассажиров наземным транспортом, на которых осуществляются</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перевозки пассажиров негосударственными (немуниципальными)</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перевозчиками</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Calibri" w:cs="Times New Roman" w:ascii="Times New Roman" w:hAnsi="Times New Roman" w:eastAsiaTheme="minorHAnsi"/>
                <w:color w:val="auto"/>
                <w:kern w:val="0"/>
                <w:sz w:val="26"/>
                <w:szCs w:val="26"/>
                <w:lang w:val="ru-RU" w:eastAsia="en-US" w:bidi="ar-SA"/>
              </w:rPr>
              <w:t>П</w:t>
            </w:r>
            <w:r>
              <w:rPr>
                <w:rFonts w:ascii="Times New Roman" w:hAnsi="Times New Roman"/>
                <w:sz w:val="26"/>
                <w:szCs w:val="26"/>
              </w:rPr>
              <w:t>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МКУ АХОЗУ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Постановлением от 26.08.2021г. № 375-па внесены изменения в постановление от 25.08.2020г. №537-па «Об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Объявлен конкурс на право получения свидетельства об осуществлении перевозок. На данный момент конкурс находится на стадии подачи заявок.</w:t>
            </w:r>
          </w:p>
        </w:tc>
      </w:tr>
    </w:tbl>
    <w:p>
      <w:pPr>
        <w:pStyle w:val="Normal"/>
        <w:spacing w:lineRule="auto" w:line="240" w:before="0" w:after="0"/>
        <w:jc w:val="center"/>
        <w:rPr>
          <w:rFonts w:ascii="Times New Roman" w:hAnsi="Times New Roman" w:eastAsia="Times New Roman"/>
          <w:spacing w:val="2"/>
          <w:sz w:val="26"/>
          <w:szCs w:val="26"/>
          <w:lang w:eastAsia="ru-RU"/>
        </w:rPr>
      </w:pPr>
      <w:r>
        <w:rPr>
          <w:rFonts w:eastAsia="Times New Roman" w:ascii="Times New Roman" w:hAnsi="Times New Roman"/>
          <w:spacing w:val="2"/>
          <w:sz w:val="26"/>
          <w:szCs w:val="26"/>
          <w:lang w:eastAsia="ru-RU"/>
        </w:rPr>
      </w:r>
    </w:p>
    <w:p>
      <w:pPr>
        <w:pStyle w:val="Normal"/>
        <w:spacing w:lineRule="auto" w:line="240" w:before="0" w:after="0"/>
        <w:jc w:val="center"/>
        <w:rPr/>
      </w:pPr>
      <w:r>
        <w:rPr>
          <w:rFonts w:eastAsia="Times New Roman" w:ascii="Times New Roman" w:hAnsi="Times New Roman"/>
          <w:b/>
          <w:spacing w:val="2"/>
          <w:sz w:val="26"/>
          <w:szCs w:val="26"/>
          <w:lang w:eastAsia="ru-RU"/>
        </w:rPr>
        <w:t>Системные мероприятия по содействию развитию конкуренции</w:t>
      </w:r>
    </w:p>
    <w:p>
      <w:pPr>
        <w:pStyle w:val="Normal"/>
        <w:spacing w:lineRule="auto" w:line="240" w:before="0" w:after="0"/>
        <w:jc w:val="center"/>
        <w:rPr>
          <w:rFonts w:ascii="Times New Roman" w:hAnsi="Times New Roman" w:eastAsia="Times New Roman"/>
          <w:b/>
          <w:b/>
          <w:spacing w:val="2"/>
          <w:sz w:val="26"/>
          <w:szCs w:val="26"/>
          <w:lang w:eastAsia="ru-RU"/>
        </w:rPr>
      </w:pPr>
      <w:r>
        <w:rPr>
          <w:rFonts w:eastAsia="Times New Roman" w:ascii="Times New Roman" w:hAnsi="Times New Roman"/>
          <w:b/>
          <w:spacing w:val="2"/>
          <w:sz w:val="26"/>
          <w:szCs w:val="26"/>
          <w:lang w:eastAsia="ru-RU"/>
        </w:rPr>
      </w:r>
    </w:p>
    <w:tbl>
      <w:tblPr>
        <w:tblW w:w="15593" w:type="dxa"/>
        <w:jc w:val="left"/>
        <w:tblInd w:w="-150" w:type="dxa"/>
        <w:tblLayout w:type="fixed"/>
        <w:tblCellMar>
          <w:top w:w="0" w:type="dxa"/>
          <w:left w:w="149" w:type="dxa"/>
          <w:bottom w:w="0" w:type="dxa"/>
          <w:right w:w="149" w:type="dxa"/>
        </w:tblCellMar>
        <w:tblLook w:val="04a0"/>
      </w:tblPr>
      <w:tblGrid>
        <w:gridCol w:w="687"/>
        <w:gridCol w:w="4839"/>
        <w:gridCol w:w="3675"/>
        <w:gridCol w:w="2891"/>
        <w:gridCol w:w="3501"/>
      </w:tblGrid>
      <w:tr>
        <w:trPr>
          <w:tblHeader w:val="true"/>
          <w:trHeight w:val="692"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 xml:space="preserve">№ </w:t>
            </w:r>
            <w:r>
              <w:rPr>
                <w:rFonts w:eastAsia="Times New Roman" w:ascii="Times New Roman" w:hAnsi="Times New Roman"/>
                <w:b/>
                <w:bCs/>
                <w:sz w:val="26"/>
                <w:szCs w:val="26"/>
                <w:lang w:eastAsia="ru-RU"/>
              </w:rPr>
              <w:t>п/п</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Наименование мероприятия</w:t>
            </w:r>
          </w:p>
        </w:tc>
        <w:tc>
          <w:tcPr>
            <w:tcW w:w="3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Результат</w:t>
            </w:r>
          </w:p>
        </w:tc>
        <w:tc>
          <w:tcPr>
            <w:tcW w:w="28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Сроки выполнения</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Исполнители</w:t>
            </w:r>
          </w:p>
        </w:tc>
      </w:tr>
      <w:tr>
        <w:trPr>
          <w:trHeight w:val="352" w:hRule="atLeast"/>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1. Развитие конкурентоспособности товаров, работ, услуг субъектов малого и среднего предпринимательства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1.1</w:t>
            </w:r>
          </w:p>
        </w:tc>
        <w:tc>
          <w:tcPr>
            <w:tcW w:w="483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Оказание информационно-консультационной, финансовой поддержки субъектам малого и среднего</w:t>
            </w:r>
          </w:p>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предпринимательства</w:t>
            </w:r>
          </w:p>
        </w:tc>
        <w:tc>
          <w:tcPr>
            <w:tcW w:w="36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Развитие конкурентоспособности товаров, работ, услуг субъектов малого и среднего предпринимательства</w:t>
            </w:r>
          </w:p>
        </w:tc>
        <w:tc>
          <w:tcPr>
            <w:tcW w:w="2891" w:type="dxa"/>
            <w:vMerge w:val="restart"/>
            <w:tcBorders>
              <w:top w:val="single" w:sz="4" w:space="0" w:color="000000"/>
              <w:left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Регулярное консультирование    предпринимателей района по интересующим вопросам.</w:t>
            </w:r>
          </w:p>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w:t>
            </w:r>
          </w:p>
        </w:tc>
        <w:tc>
          <w:tcPr>
            <w:tcW w:w="3501" w:type="dxa"/>
            <w:vMerge w:val="restart"/>
            <w:tcBorders>
              <w:top w:val="single" w:sz="6" w:space="0" w:color="000000"/>
              <w:left w:val="single" w:sz="4"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t>Отдел экономики 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1.2</w:t>
            </w:r>
          </w:p>
        </w:tc>
        <w:tc>
          <w:tcPr>
            <w:tcW w:w="483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Поведение круглых столов, совещаний и иных мероприятий по вопросам развития субъектов малого и среднего предпринимательства</w:t>
            </w:r>
          </w:p>
        </w:tc>
        <w:tc>
          <w:tcPr>
            <w:tcW w:w="36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2891"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3501" w:type="dxa"/>
            <w:vMerge w:val="continue"/>
            <w:tcBorders>
              <w:left w:val="single" w:sz="4"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r>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b/>
                <w:b/>
                <w:sz w:val="26"/>
                <w:szCs w:val="26"/>
              </w:rPr>
            </w:pPr>
            <w:r>
              <w:rPr>
                <w:rFonts w:eastAsia="Times New Roman" w:ascii="Times New Roman" w:hAnsi="Times New Roman"/>
                <w:b/>
                <w:sz w:val="26"/>
                <w:szCs w:val="26"/>
                <w:lang w:eastAsia="ru-RU"/>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2.1</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Проведение мероприятий, направленных на</w:t>
            </w:r>
          </w:p>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централизацию закупок</w:t>
            </w:r>
          </w:p>
        </w:tc>
        <w:tc>
          <w:tcPr>
            <w:tcW w:w="3675" w:type="dxa"/>
            <w:tcBorders>
              <w:top w:val="single" w:sz="6" w:space="0" w:color="000000"/>
              <w:left w:val="single" w:sz="6" w:space="0" w:color="000000"/>
              <w:bottom w:val="single" w:sz="6" w:space="0" w:color="000000"/>
              <w:right w:val="single" w:sz="4" w:space="0" w:color="000000"/>
            </w:tcBorders>
          </w:tcPr>
          <w:p>
            <w:pPr>
              <w:pStyle w:val="Normal"/>
              <w:widowControl w:val="false"/>
              <w:suppressAutoHyphens w:val="true"/>
              <w:bidi w:val="0"/>
              <w:spacing w:lineRule="auto" w:line="240" w:before="0" w:after="0"/>
              <w:ind w:left="0" w:right="113" w:hanging="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Обеспечение прозрачности и доступности закупок товаров, работ,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restart"/>
            <w:tcBorders>
              <w:top w:val="single" w:sz="6" w:space="0" w:color="000000"/>
              <w:left w:val="single" w:sz="4"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t>Отдел экономики 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2.2</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Содействие увеличению доли закупок, участниками которых являются только субъекты малого и среднего предпринимательства и социально ориентированные некоммерческие организации в сфере муниципального заказа</w:t>
            </w:r>
          </w:p>
        </w:tc>
        <w:tc>
          <w:tcPr>
            <w:tcW w:w="3675" w:type="dxa"/>
            <w:tcBorders>
              <w:top w:val="single" w:sz="6" w:space="0" w:color="000000"/>
              <w:left w:val="single" w:sz="6" w:space="0" w:color="000000"/>
              <w:bottom w:val="single" w:sz="6" w:space="0" w:color="000000"/>
              <w:right w:val="single" w:sz="4" w:space="0" w:color="000000"/>
            </w:tcBorders>
          </w:tcPr>
          <w:p>
            <w:pPr>
              <w:pStyle w:val="Normal"/>
              <w:widowControl w:val="false"/>
              <w:tabs>
                <w:tab w:val="clear" w:pos="708"/>
                <w:tab w:val="left" w:pos="165" w:leader="none"/>
              </w:tabs>
              <w:suppressAutoHyphens w:val="true"/>
              <w:bidi w:val="0"/>
              <w:spacing w:lineRule="auto" w:line="240" w:before="0" w:after="0"/>
              <w:ind w:left="57" w:right="113" w:hanging="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Достижение доли закупок товаров, работ услуг у субъектов малого и среднего предпринимательства в совокупном годовом объеме закупок крупнейших заказчиков - не менее 15 %</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continue"/>
            <w:tcBorders>
              <w:left w:val="single" w:sz="4"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2.3</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Содействие увеличению количества участников конкурентных процедур определения поставщиков при осуществлении закупок для обеспечения муниципальных нужд</w:t>
            </w:r>
          </w:p>
        </w:tc>
        <w:tc>
          <w:tcPr>
            <w:tcW w:w="3675" w:type="dxa"/>
            <w:tcBorders>
              <w:top w:val="single" w:sz="6" w:space="0" w:color="000000"/>
              <w:left w:val="single" w:sz="6" w:space="0" w:color="000000"/>
              <w:bottom w:val="single" w:sz="6" w:space="0" w:color="000000"/>
              <w:right w:val="single" w:sz="4" w:space="0" w:color="000000"/>
            </w:tcBorders>
          </w:tcPr>
          <w:p>
            <w:pPr>
              <w:pStyle w:val="Normal"/>
              <w:widowControl w:val="false"/>
              <w:suppressAutoHyphens w:val="true"/>
              <w:bidi w:val="0"/>
              <w:spacing w:lineRule="auto" w:line="240" w:before="0" w:after="0"/>
              <w:ind w:left="0" w:right="113" w:hanging="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Недопущение злоупотребления при проведении закупки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continue"/>
            <w:tcBorders>
              <w:left w:val="single" w:sz="4"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r>
        <w:trPr>
          <w:trHeight w:val="416" w:hRule="atLeast"/>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textAlignment w:val="baseline"/>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3. Развитие конкуренции в сфере распоряжения муниципальной собственностью</w:t>
            </w:r>
          </w:p>
        </w:tc>
      </w:tr>
      <w:tr>
        <w:trPr>
          <w:trHeight w:val="393"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3.1</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Формирование, утверждение и актуализация перечня имущества, находящегося в собственности Дальнереченского муниципального района, свободного от прав третьих лиц, предназначенного для предоставления во владение или в пользование субъектам малого и среднего предпринимательства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sz w:val="26"/>
                <w:szCs w:val="26"/>
                <w:lang w:eastAsia="ru-RU"/>
              </w:rPr>
            </w:pPr>
            <w:r>
              <w:rPr>
                <w:rFonts w:ascii="Times New Roman" w:hAnsi="Times New Roman"/>
                <w:sz w:val="26"/>
                <w:szCs w:val="26"/>
                <w:lang w:eastAsia="ru-RU"/>
              </w:rPr>
              <w:t>Наличие утвержденного и актуализированного перечня имущества, находящегося в собственности Дальнереченского муниципального района, свободного от прав третьих лиц, предназначенного для предоставления во владение или в пользование субъектам малого и среднего предпринимательства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eastAsia="Times New Roman" w:ascii="Times New Roman" w:hAnsi="Times New Roman"/>
                <w:sz w:val="26"/>
                <w:szCs w:val="26"/>
                <w:lang w:eastAsia="ru-RU"/>
              </w:rPr>
              <w:t>Отдел по управлению муниципальным имуществом</w:t>
            </w:r>
            <w:r>
              <w:rPr>
                <w:rFonts w:ascii="Times New Roman" w:hAnsi="Times New Roman"/>
                <w:sz w:val="26"/>
                <w:szCs w:val="26"/>
              </w:rPr>
              <w:t xml:space="preserve"> </w:t>
            </w:r>
            <w:r>
              <w:rPr>
                <w:rFonts w:eastAsia="Times New Roman" w:ascii="Times New Roman" w:hAnsi="Times New Roman"/>
                <w:sz w:val="26"/>
                <w:szCs w:val="26"/>
                <w:lang w:eastAsia="ru-RU"/>
              </w:rPr>
              <w:t>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3.2</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Проведение публичных торгов при реализации муниципального имущества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Недопущение коррупции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eastAsia="Times New Roman" w:ascii="Times New Roman" w:hAnsi="Times New Roman"/>
                <w:sz w:val="26"/>
                <w:szCs w:val="26"/>
                <w:lang w:eastAsia="ru-RU"/>
              </w:rPr>
              <w:t>Отдел по управлению муниципальным имуществом</w:t>
            </w:r>
            <w:r>
              <w:rPr>
                <w:rFonts w:ascii="Times New Roman" w:hAnsi="Times New Roman"/>
                <w:sz w:val="26"/>
                <w:szCs w:val="26"/>
              </w:rPr>
              <w:t xml:space="preserve"> </w:t>
            </w:r>
            <w:r>
              <w:rPr>
                <w:rFonts w:eastAsia="Times New Roman" w:ascii="Times New Roman" w:hAnsi="Times New Roman"/>
                <w:sz w:val="26"/>
                <w:szCs w:val="26"/>
                <w:lang w:eastAsia="ru-RU"/>
              </w:rPr>
              <w:t>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3.3</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Информационно-консультационное сопровождение процессов применения механизмов муниципально-частного партнерства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Содействие развитию практики применения механизмов муниципально-частного партнерства, в том числе практики заключения концессионных соглашений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eastAsia="Times New Roman" w:ascii="Times New Roman" w:hAnsi="Times New Roman"/>
                <w:sz w:val="26"/>
                <w:szCs w:val="26"/>
                <w:lang w:eastAsia="ru-RU"/>
              </w:rPr>
              <w:t>Отдел по управлению муниципальным имуществом</w:t>
            </w:r>
            <w:r>
              <w:rPr>
                <w:rFonts w:ascii="Times New Roman" w:hAnsi="Times New Roman"/>
                <w:sz w:val="26"/>
                <w:szCs w:val="26"/>
              </w:rPr>
              <w:t xml:space="preserve"> </w:t>
            </w:r>
            <w:r>
              <w:rPr>
                <w:rFonts w:eastAsia="Times New Roman" w:ascii="Times New Roman" w:hAnsi="Times New Roman"/>
                <w:sz w:val="26"/>
                <w:szCs w:val="26"/>
                <w:lang w:eastAsia="ru-RU"/>
              </w:rPr>
              <w:t>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3.4</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sz w:val="26"/>
                <w:szCs w:val="26"/>
                <w:lang w:eastAsia="ru-RU"/>
              </w:rPr>
            </w:pPr>
            <w:r>
              <w:rPr>
                <w:rFonts w:ascii="Times New Roman" w:hAnsi="Times New Roman"/>
                <w:sz w:val="26"/>
                <w:szCs w:val="26"/>
                <w:lang w:eastAsia="ru-RU"/>
              </w:rPr>
              <w:t>Обеспечение опубликования и актуализации на официальном сайте администрации Дальнереченского муниципального района информации о земельных участках, формирование которых предусмотрено для целей жилищного и иного строительства (указываются характеристики земе-льных участков на каждый плановый период, подлежащих формированию и последующему предоставлению для целей строительства)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sz w:val="26"/>
                <w:szCs w:val="26"/>
                <w:lang w:eastAsia="ru-RU"/>
              </w:rPr>
            </w:pPr>
            <w:r>
              <w:rPr>
                <w:rFonts w:ascii="Times New Roman" w:hAnsi="Times New Roman"/>
                <w:sz w:val="26"/>
                <w:szCs w:val="26"/>
                <w:lang w:eastAsia="ru-RU"/>
              </w:rPr>
              <w:t>Опубликование на официальном сайте администрации Дальнереченского муниципального района информации о земельных участках, формирование которых предусмотрено для целей жилищного и иного строительства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t>Отдел архитектуры, градостроительства и ЖКХ администрации Дальнереченского муниципального района</w:t>
            </w:r>
          </w:p>
        </w:tc>
      </w:tr>
      <w:tr>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b/>
                <w:b/>
                <w:bCs/>
                <w:sz w:val="26"/>
                <w:szCs w:val="26"/>
                <w:lang w:eastAsia="ru-RU"/>
              </w:rPr>
            </w:pPr>
            <w:r>
              <w:rPr>
                <w:rFonts w:ascii="Times New Roman" w:hAnsi="Times New Roman"/>
                <w:b/>
                <w:bCs/>
                <w:sz w:val="26"/>
                <w:szCs w:val="26"/>
                <w:lang w:eastAsia="ru-RU"/>
              </w:rPr>
              <w:t>4. Обеспечение обучения муниципальных служащих основам государственной политики</w:t>
            </w:r>
          </w:p>
          <w:p>
            <w:pPr>
              <w:pStyle w:val="Normal"/>
              <w:widowControl w:val="false"/>
              <w:spacing w:lineRule="auto" w:line="240" w:before="0" w:after="0"/>
              <w:jc w:val="center"/>
              <w:textAlignment w:val="baseline"/>
              <w:rPr>
                <w:rFonts w:ascii="Times New Roman" w:hAnsi="Times New Roman"/>
                <w:b/>
                <w:b/>
                <w:bCs/>
                <w:sz w:val="26"/>
                <w:szCs w:val="26"/>
                <w:lang w:eastAsia="ru-RU"/>
              </w:rPr>
            </w:pPr>
            <w:r>
              <w:rPr>
                <w:rFonts w:ascii="Times New Roman" w:hAnsi="Times New Roman"/>
                <w:b/>
                <w:bCs/>
                <w:sz w:val="26"/>
                <w:szCs w:val="26"/>
                <w:lang w:eastAsia="ru-RU"/>
              </w:rPr>
              <w:t>по развитию конкуренции и антимонопольного законодательства</w:t>
            </w:r>
          </w:p>
        </w:tc>
      </w:tr>
      <w:tr>
        <w:trPr>
          <w:trHeight w:val="2433"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4.1</w:t>
            </w:r>
          </w:p>
        </w:tc>
        <w:tc>
          <w:tcPr>
            <w:tcW w:w="4839"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Организация проведения обучающих</w:t>
            </w:r>
          </w:p>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мероприятий (повышение квалификации, семинары, иные мероприятия) для муниципальных служащих основам государственной политики по развитию</w:t>
            </w:r>
          </w:p>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конкуренции и антимонопольного законодательства</w:t>
            </w:r>
          </w:p>
        </w:tc>
        <w:tc>
          <w:tcPr>
            <w:tcW w:w="3675" w:type="dxa"/>
            <w:tcBorders>
              <w:top w:val="single" w:sz="6" w:space="0" w:color="000000"/>
              <w:left w:val="single" w:sz="6" w:space="0" w:color="000000"/>
              <w:bottom w:val="single" w:sz="6" w:space="0" w:color="000000"/>
            </w:tcBorders>
            <w:tcMar>
              <w:top w:w="55" w:type="dxa"/>
              <w:left w:w="55" w:type="dxa"/>
              <w:bottom w:w="55" w:type="dxa"/>
              <w:right w:w="55" w:type="dxa"/>
            </w:tcMar>
          </w:tcPr>
          <w:tbl>
            <w:tblPr>
              <w:tblW w:w="3378" w:type="dxa"/>
              <w:jc w:val="left"/>
              <w:tblInd w:w="0" w:type="dxa"/>
              <w:tblLayout w:type="fixed"/>
              <w:tblCellMar>
                <w:top w:w="0" w:type="dxa"/>
                <w:left w:w="108" w:type="dxa"/>
                <w:bottom w:w="0" w:type="dxa"/>
                <w:right w:w="108" w:type="dxa"/>
              </w:tblCellMar>
              <w:tblLook w:val="0000"/>
            </w:tblPr>
            <w:tblGrid>
              <w:gridCol w:w="3378"/>
            </w:tblGrid>
            <w:tr>
              <w:trPr>
                <w:trHeight w:val="391" w:hRule="atLeast"/>
              </w:trPr>
              <w:tc>
                <w:tcPr>
                  <w:tcW w:w="3378" w:type="dxa"/>
                  <w:tcBorders/>
                </w:tcPr>
                <w:p>
                  <w:pPr>
                    <w:pStyle w:val="Normal"/>
                    <w:widowControl w:val="false"/>
                    <w:spacing w:lineRule="auto" w:line="240" w:before="0" w:after="0"/>
                    <w:jc w:val="left"/>
                    <w:rPr>
                      <w:rFonts w:ascii="Times New Roman" w:hAnsi="Times New Roman"/>
                      <w:sz w:val="26"/>
                      <w:szCs w:val="26"/>
                      <w:lang w:eastAsia="ru-RU"/>
                    </w:rPr>
                  </w:pPr>
                  <w:r>
                    <w:rPr>
                      <w:rFonts w:ascii="Times New Roman" w:hAnsi="Times New Roman"/>
                      <w:sz w:val="26"/>
                      <w:szCs w:val="26"/>
                      <w:lang w:eastAsia="ru-RU"/>
                    </w:rPr>
                    <w:t>Увеличение численности муниципальных служащих, прошедших обучение</w:t>
                  </w:r>
                </w:p>
              </w:tc>
            </w:tr>
          </w:tbl>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2891" w:type="dxa"/>
            <w:vMerge w:val="restart"/>
            <w:tcBorders>
              <w:top w:val="single" w:sz="6" w:space="0" w:color="000000"/>
              <w:left w:val="single" w:sz="6" w:space="0" w:color="000000"/>
              <w:bottom w:val="single" w:sz="6" w:space="0" w:color="000000"/>
            </w:tcBorders>
            <w:tcMar>
              <w:top w:w="55" w:type="dxa"/>
              <w:left w:w="55" w:type="dxa"/>
              <w:bottom w:w="55" w:type="dxa"/>
              <w:right w:w="55" w:type="dxa"/>
            </w:tcMar>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restart"/>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Отдел кадров</w:t>
            </w:r>
          </w:p>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администрации Дальнереченского муниципального района</w:t>
            </w:r>
          </w:p>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mc:AlternateContent>
                <mc:Choice Requires="wps">
                  <w:drawing>
                    <wp:anchor behindDoc="0" distT="0" distB="0" distL="0" distR="0" simplePos="0" locked="0" layoutInCell="0" allowOverlap="1" relativeHeight="2">
                      <wp:simplePos x="0" y="0"/>
                      <wp:positionH relativeFrom="column">
                        <wp:posOffset>11541760</wp:posOffset>
                      </wp:positionH>
                      <wp:positionV relativeFrom="paragraph">
                        <wp:posOffset>197485</wp:posOffset>
                      </wp:positionV>
                      <wp:extent cx="4006850" cy="25400"/>
                      <wp:effectExtent l="0" t="0" r="0" b="0"/>
                      <wp:wrapNone/>
                      <wp:docPr id="2" name="Фигура1"/>
                      <a:graphic xmlns:a="http://schemas.openxmlformats.org/drawingml/2006/main">
                        <a:graphicData uri="http://schemas.microsoft.com/office/word/2010/wordprocessingShape">
                          <wps:wsp>
                            <wps:cNvSpPr/>
                            <wps:spPr>
                              <a:xfrm>
                                <a:off x="0" y="0"/>
                                <a:ext cx="4006080" cy="17280"/>
                              </a:xfrm>
                              <a:prstGeom prst="line">
                                <a:avLst/>
                              </a:prstGeom>
                              <a:ln w="25560">
                                <a:solidFill>
                                  <a:srgbClr val="808080"/>
                                </a:solidFill>
                                <a:round/>
                              </a:ln>
                            </wps:spPr>
                            <wps:style>
                              <a:lnRef idx="0"/>
                              <a:fillRef idx="0"/>
                              <a:effectRef idx="0"/>
                              <a:fontRef idx="minor"/>
                            </wps:style>
                            <wps:bodyPr/>
                          </wps:wsp>
                        </a:graphicData>
                      </a:graphic>
                    </wp:anchor>
                  </w:drawing>
                </mc:Choice>
                <mc:Fallback>
                  <w:pict>
                    <v:line id="shape_0" from="908.8pt,15.55pt" to="1224.2pt,16.85pt" ID="Фигура1" stroked="t" style="position:absolute">
                      <v:stroke color="gray" weight="25560" joinstyle="round" endcap="flat"/>
                      <v:fill o:detectmouseclick="t" on="false"/>
                      <w10:wrap type="none"/>
                    </v:line>
                  </w:pict>
                </mc:Fallback>
              </mc:AlternateContent>
            </w:r>
          </w:p>
          <w:p>
            <w:pPr>
              <w:pStyle w:val="Normal"/>
              <w:widowControl w:val="false"/>
              <w:spacing w:lineRule="auto" w:line="240" w:before="0" w:after="0"/>
              <w:jc w:val="center"/>
              <w:textAlignment w:val="baseline"/>
              <w:rPr>
                <w:rFonts w:ascii="Times New Roman" w:hAnsi="Times New Roman"/>
                <w:sz w:val="26"/>
                <w:szCs w:val="26"/>
              </w:rPr>
            </w:pPr>
            <w:r>
              <mc:AlternateContent>
                <mc:Choice Requires="wps">
                  <w:drawing>
                    <wp:anchor behindDoc="0" distT="0" distB="0" distL="0" distR="0" simplePos="0" locked="0" layoutInCell="0" allowOverlap="1" relativeHeight="3">
                      <wp:simplePos x="0" y="0"/>
                      <wp:positionH relativeFrom="column">
                        <wp:posOffset>11541760</wp:posOffset>
                      </wp:positionH>
                      <wp:positionV relativeFrom="paragraph">
                        <wp:posOffset>22225</wp:posOffset>
                      </wp:positionV>
                      <wp:extent cx="224790" cy="6350"/>
                      <wp:effectExtent l="0" t="0" r="0" b="0"/>
                      <wp:wrapNone/>
                      <wp:docPr id="3" name="Фигура2"/>
                      <a:graphic xmlns:a="http://schemas.openxmlformats.org/drawingml/2006/main">
                        <a:graphicData uri="http://schemas.microsoft.com/office/word/2010/wordprocessingShape">
                          <wps:wsp>
                            <wps:cNvSpPr/>
                            <wps:spPr>
                              <a:xfrm flipH="1">
                                <a:off x="0" y="0"/>
                                <a:ext cx="224280" cy="1440"/>
                              </a:xfrm>
                              <a:prstGeom prst="line">
                                <a:avLst/>
                              </a:prstGeom>
                              <a:ln w="25560">
                                <a:solidFill>
                                  <a:srgbClr val="808080"/>
                                </a:solidFill>
                                <a:round/>
                              </a:ln>
                            </wps:spPr>
                            <wps:style>
                              <a:lnRef idx="0"/>
                              <a:fillRef idx="0"/>
                              <a:effectRef idx="0"/>
                              <a:fontRef idx="minor"/>
                            </wps:style>
                            <wps:bodyPr/>
                          </wps:wsp>
                        </a:graphicData>
                      </a:graphic>
                    </wp:anchor>
                  </w:drawing>
                </mc:Choice>
                <mc:Fallback>
                  <w:pict>
                    <v:line id="shape_0" from="908.8pt,1.75pt" to="926.4pt,1.8pt" ID="Фигура2" stroked="t" style="position:absolute;flip:x">
                      <v:stroke color="gray" weight="25560" joinstyle="round" endcap="flat"/>
                      <v:fill o:detectmouseclick="t" on="false"/>
                      <w10:wrap type="none"/>
                    </v:line>
                  </w:pict>
                </mc:Fallback>
              </mc:AlternateContent>
            </w:r>
            <w:r>
              <w:rPr>
                <w:rFonts w:ascii="Times New Roman" w:hAnsi="Times New Roman"/>
                <w:sz w:val="26"/>
                <w:szCs w:val="26"/>
              </w:rPr>
              <w:t>Отдел экономики администрации Дальнереченского муниципального района</w:t>
            </w:r>
          </w:p>
        </w:tc>
      </w:tr>
      <w:tr>
        <w:trPr>
          <w:trHeight w:val="1458"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4.2</w:t>
            </w:r>
          </w:p>
        </w:tc>
        <w:tc>
          <w:tcPr>
            <w:tcW w:w="4839" w:type="dxa"/>
            <w:tcBorders>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Создание на официальном сайте администрации Дальнереченского муниципального района раздела, посвященного развитию конкуренции и ведение его в актуальном виде</w:t>
            </w:r>
          </w:p>
        </w:tc>
        <w:tc>
          <w:tcPr>
            <w:tcW w:w="3675" w:type="dxa"/>
            <w:tcBorders>
              <w:left w:val="single" w:sz="6" w:space="0" w:color="000000"/>
              <w:bottom w:val="single" w:sz="6" w:space="0" w:color="000000"/>
            </w:tcBorders>
            <w:tcMar>
              <w:top w:w="55" w:type="dxa"/>
              <w:left w:w="55" w:type="dxa"/>
              <w:bottom w:w="55" w:type="dxa"/>
              <w:right w:w="55" w:type="dxa"/>
            </w:tcM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Наличие на официальном</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сайте администрации Дальнереченском муниципального района</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раздела, посвященного</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развитию конкуренции и</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ведение его в актуальном</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виде</w:t>
            </w:r>
          </w:p>
        </w:tc>
        <w:tc>
          <w:tcPr>
            <w:tcW w:w="2891" w:type="dxa"/>
            <w:vMerge w:val="continue"/>
            <w:tcBorders>
              <w:left w:val="single" w:sz="6" w:space="0" w:color="000000"/>
              <w:bottom w:val="single" w:sz="6" w:space="0" w:color="000000"/>
            </w:tcBorders>
            <w:tcMar>
              <w:top w:w="55" w:type="dxa"/>
              <w:left w:w="55" w:type="dxa"/>
              <w:bottom w:w="55" w:type="dxa"/>
              <w:right w:w="55" w:type="dxa"/>
            </w:tcMar>
          </w:tcPr>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3501" w:type="dxa"/>
            <w:vMerge w:val="continue"/>
            <w:tcBorders>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bl>
    <w:p>
      <w:pPr>
        <w:pStyle w:val="Normal"/>
        <w:spacing w:lineRule="auto" w:line="240" w:before="0" w:after="200"/>
        <w:rPr/>
      </w:pPr>
      <w:r>
        <w:rPr/>
      </w:r>
    </w:p>
    <w:sectPr>
      <w:type w:val="nextPage"/>
      <w:pgSz w:orient="landscape" w:w="16838" w:h="11906"/>
      <w:pgMar w:left="1134" w:right="1134" w:header="0" w:top="709"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603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50443"/>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a26033"/>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ListParagraph">
    <w:name w:val="List Paragraph"/>
    <w:basedOn w:val="Normal"/>
    <w:uiPriority w:val="34"/>
    <w:qFormat/>
    <w:rsid w:val="00823287"/>
    <w:pPr>
      <w:spacing w:before="0" w:after="200"/>
      <w:ind w:left="720" w:hanging="0"/>
      <w:contextualSpacing/>
    </w:pPr>
    <w:rPr/>
  </w:style>
  <w:style w:type="paragraph" w:styleId="Style20">
    <w:name w:val="Горизонтальная линия"/>
    <w:basedOn w:val="Normal"/>
    <w:next w:val="Style16"/>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39"/>
    <w:rsid w:val="00861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844F-F7FF-4A1F-879E-BB6CE3CE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Application>LibreOffice/7.0.3.1$Windows_X86_64 LibreOffice_project/d7547858d014d4cf69878db179d326fc3483e082</Application>
  <Pages>12</Pages>
  <Words>1789</Words>
  <Characters>14270</Characters>
  <CharactersWithSpaces>15864</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2019-08-29T22:21:00Z</dcterms:created>
  <dc:creator>Орлова Наталья Александровна</dc:creator>
  <dc:description/>
  <dc:language>ru-RU</dc:language>
  <cp:lastModifiedBy/>
  <cp:lastPrinted>2021-04-06T11:09:10Z</cp:lastPrinted>
  <dcterms:modified xsi:type="dcterms:W3CDTF">2021-10-06T10:21:38Z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