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Информация о реализации на  территории Дальнереченского  муниципального района</w:t>
      </w:r>
    </w:p>
    <w:p>
      <w:pPr>
        <w:pStyle w:val="ConsPlus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«Дорожной карты» утвержденной распоряжением администрации Дальнереченского муниципального района</w:t>
      </w:r>
    </w:p>
    <w:p>
      <w:pPr>
        <w:pStyle w:val="ConsPlus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от 20 ноября 2019 года № 300-ра </w:t>
      </w:r>
      <w:r>
        <w:rPr>
          <w:rFonts w:ascii="Times New Roman" w:hAnsi="Times New Roman"/>
          <w:b/>
          <w:sz w:val="26"/>
          <w:szCs w:val="26"/>
        </w:rPr>
        <w:t>«Об утверждении Плана мероприятий («дорожной карты»)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 содействию конкуренции, развитию конкурентной среды в Дальнереченском муниципальном районе»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за 2021 года</w:t>
      </w:r>
    </w:p>
    <w:p>
      <w:pPr>
        <w:pStyle w:val="ConsPlusNormal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2715895</wp:posOffset>
                </wp:positionH>
                <wp:positionV relativeFrom="paragraph">
                  <wp:posOffset>10957560</wp:posOffset>
                </wp:positionV>
                <wp:extent cx="1948815" cy="15240"/>
                <wp:effectExtent l="0" t="0" r="0" b="0"/>
                <wp:wrapNone/>
                <wp:docPr id="1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320" cy="9360"/>
                        </a:xfrm>
                        <a:prstGeom prst="line">
                          <a:avLst/>
                        </a:prstGeom>
                        <a:ln w="216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3.85pt,862.8pt" to="367.2pt,863.5pt" ID="Фигура3" stroked="t" style="position:absolute">
                <v:stroke color="gray" weight="21600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15452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676"/>
        <w:gridCol w:w="2"/>
        <w:gridCol w:w="1270"/>
        <w:gridCol w:w="3"/>
        <w:gridCol w:w="1841"/>
        <w:gridCol w:w="3"/>
        <w:gridCol w:w="1019"/>
        <w:gridCol w:w="690"/>
        <w:gridCol w:w="675"/>
        <w:gridCol w:w="570"/>
        <w:gridCol w:w="570"/>
        <w:gridCol w:w="675"/>
        <w:gridCol w:w="734"/>
        <w:gridCol w:w="2102"/>
        <w:gridCol w:w="2070"/>
      </w:tblGrid>
      <w:tr>
        <w:trPr>
          <w:tblHeader w:val="true"/>
          <w:trHeight w:val="810" w:hRule="atLeast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Единицы измерения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Целевые значения показателя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Ответственные исполнители (соисполнители)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>
        <w:trPr>
          <w:tblHeader w:val="true"/>
          <w:trHeight w:val="214" w:hRule="atLeast"/>
        </w:trPr>
        <w:tc>
          <w:tcPr>
            <w:tcW w:w="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blHeader w:val="true"/>
          <w:trHeight w:val="214" w:hRule="atLeast"/>
        </w:trPr>
        <w:tc>
          <w:tcPr>
            <w:tcW w:w="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ф</w:t>
            </w:r>
          </w:p>
        </w:tc>
        <w:tc>
          <w:tcPr>
            <w:tcW w:w="6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1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01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Рынок розничной торговли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firstLine="5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территории Дальнереченского муниципального района отсутствуют предприятия государственной и муниципальной формы собственности, осуществляющие свою деятельность на рынке услуг розничной торговли.   Доля частных хозяйствующих субъектов, осуществляющих свою деятельность в сфере розничной торговли составляет 100%.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труктура торговой сети Дальнереченского муниципального района представлена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auto" w:val="clear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торговыми объектами. </w:t>
            </w:r>
          </w:p>
          <w:p>
            <w:pPr>
              <w:pStyle w:val="ConsPlusNormal"/>
              <w:widowControl w:val="false"/>
              <w:spacing w:lineRule="auto" w:line="240"/>
              <w:ind w:firstLine="5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Такое количество предприятий торговли в целом обеспечивает потребность населения района в товарах первой необходимости. Ассортимент наблюдаемых продуктов питания на прилавках торговых предприятий района остается стабильным. Однако рынок торговли непродовольственными и узкоспециализированными товарами, а также товарами высокого качества по-прежнему остается недостаточно насыщенным. Потребительский рынок Дальнереченского муниципального района характеризуется низкой конкурентной средой, которая  способствует недостаточному формированию торговой инфраструктуры на территории района, развитию и насыщению товарных рынков, и удовлетворению потребностей населения в товарах, внедрению новых форм обслуживания покупателей. Основными причинами, препятствующими развитию торговых сетей, являются удалённость района от основных товаропроизводящих и распределительных центров, а также низкая плотность населения Дальнереченского муниципального района, и  как следствие, отсутствие необходимого покупательского потока для окупаемости сети и извлечения запланированной прибыли. Конкурентная среда создается с целью повешения удовлетворенности потребителей качеством товаров и услуг.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семинаров, рабочих встреч по вопросам требований действующего законодательства к осуществлению торговой деятельности, роли конкуренции в развитии торговой деятельности, выявления административных барьеров в торговле на территории Дальнереченского муниципального района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торговли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65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2021 году было проведено 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заседания Совета по улучшению инвестиционного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климата и развитию предпринимательства при администрации Дальнереченского муниципальгного района, на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которых присутствли предприниматели всех форм собственности.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На заседаниях были приняты управленческие решения, направленные на разрешение возникающих в сфере торговли проблем посредством предоставляемой полной и оперативной информации, в том числе по поддержке предпринимателей в период короновирусной инфекции.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Сохранение сетей магазинов, нестационарных торговых точек шаговой доступности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Главы сельских поселений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Удовлетворение спроса населения на потребительские товары и услуги за счет наличия сети магазинов шаговой доступности на территории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Дальнереченского муниципального района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территории Дальнереченского муниципального района на рынке дорожной деятельности функционируют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  <w:lang w:val="en-US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пр</w:t>
            </w:r>
            <w:r>
              <w:rPr>
                <w:rFonts w:ascii="Times New Roman" w:hAnsi="Times New Roman"/>
                <w:sz w:val="26"/>
                <w:szCs w:val="26"/>
              </w:rPr>
              <w:t>едприятия различных форм собственност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и,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en-US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ru-RU"/>
              </w:rPr>
              <w:t xml:space="preserve">ва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них частный хозяйствующий субъект.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оля частных хозяйствующих субъектов, осуществляющих свою деятельность на рынке услуг в сфере дородной деятельности составляет 70%.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7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 Финансирование работ по содержанию дорог местного значения осуществляется за счет средств дорожного фонда.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Процесс совершенствования дорожной сети окажет существенное влияние на социально-экономическое развитие Дальнереченского муниципального района.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Работы по ремонту и содержанию улиц, а также нанесению дорожной разметки и установки дорожных знаков на территории населенных пунктов осуществляются по результатам проведённых с подрядными организациями аукционов  на выполнение работ по реконструкции, капитальному ремонту, ремонт улично-дорожной сети, нанесению на нее дорожной разметки и установки дорожных знаков.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 202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году за счёт средств дорожного фонда было отремонтировано дорожного покрытия общей площадью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23,4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тыс.м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2.</w:t>
            </w:r>
          </w:p>
          <w:p>
            <w:pPr>
              <w:pStyle w:val="ConsPlusNormal"/>
              <w:widowControl w:val="false"/>
              <w:spacing w:lineRule="auto" w:line="24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Основными факторами, сдерживающими развитие конкуренции на рынке дорожной деятельности, являются необходимость осуществления значительных первоначальных капитальных вложений при длительных сроках окупаемости этих вложений, высокая стоимость материалов и конструкций, недостаток квалифицированных рабочих.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Развитие механизма привлечения хозяйствующих субъектов различных форм собственности к выполнению работ, связанных с дорожной деятельностью в соответствии с требованиями Федерального закона от 05.04.2013 № 44-ФЗ «О контрактной 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Проведено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аукционов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 сфере дорожной деятельности.</w:t>
            </w:r>
          </w:p>
          <w:p>
            <w:pPr>
              <w:pStyle w:val="ConsPlus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Развитие конкуренции и обеспечение равных условий на рынке услуг в сфере дорожной деятельности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firstLine="64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Важным индикатором качества жизни людей, формирующим комфорт проживания на территории, является благоустройство территорий проживания. Выполнение работ осуществляется  по итогам проведения торгов, в соответствии с Федеральным законом от 05.04.2013 №44-ФЗ «О контрактной системе в сфере закупок товаров, работ услуг для обеспечения государственных и муниципальных нужд». Доля организаций частной формы собственности в сфере выполнения работ по благоустройству городской среды составляет 100%. Реализация мероприятий по содействию развития конкуренции на данном рынке направлена на сохранение  сложившегося уровня конкурентных отношений.</w:t>
            </w:r>
          </w:p>
          <w:p>
            <w:pPr>
              <w:pStyle w:val="ConsPlusNormal"/>
              <w:widowControl w:val="false"/>
              <w:spacing w:lineRule="auto" w:line="240"/>
              <w:ind w:firstLine="64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 xml:space="preserve">В рамках реализации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 xml:space="preserve">регионального проекта «Жилье и городская среда» по программе Губернатора Приморского края «Формирование комфортной городской среды»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в Дальнереченском муниципальном районе  проводились работы по благоустройству общественных территорий в сёлах сельских поселений.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н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 территории Дальнереченского муниципального района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 2021 году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было обустроено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общественных территорий (в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тре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х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поселениях района).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в соответствии с требованиями Федерального закона от 05.04.2013 № 44-ФЗ «О контрактной 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района,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Главы сельских поселений.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доли организаций частной формы собственности, осуществляющих деятельность на рынке благоустройства городской среды.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hd w:fill="auto" w:val="clear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Н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 территории Дальнереченского муниципального района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 2021 году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было обустроено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4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общественных территорий (в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тре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х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поселениях района).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Информирование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Регулярное обновление информации на официальном сайте администрации Дальнереченского муниципального района, оповещение населения через  социальные сети Одноклассники,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Instagram,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Faceboo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k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 реализованных мероприятиях в рамках  региональных проектов.</w:t>
            </w:r>
          </w:p>
        </w:tc>
      </w:tr>
      <w:tr>
        <w:trPr>
          <w:trHeight w:val="299" w:hRule="atLeast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Рынок оказания услуг по перевозке пассажиров автомобильным транспортом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 w:eastAsiaTheme="minorHAnsi"/>
                <w:b/>
                <w:sz w:val="26"/>
                <w:szCs w:val="26"/>
              </w:rPr>
              <w:t>по муниципальным маршрутам регулярных перевозок</w:t>
            </w:r>
          </w:p>
        </w:tc>
      </w:tr>
      <w:tr>
        <w:trPr/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территории Дальнереченского муниципального района осуществляются пассажирские перевозки по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8 муниципальным маршрутам.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рынке услуг по перевозке пассажиров автомобильным транспортом по муниципальным маршрутам регулярных перевозок функционируют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пред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приятия частной формы собственности.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6"/>
                <w:szCs w:val="26"/>
                <w:u w:val="none"/>
                <w:lang w:val="ru-RU" w:eastAsia="en-US" w:bidi="ar-SA"/>
              </w:rPr>
              <w:t>еревозки по муниципальным маршрутам осуществляются по (нерегулируемому-1 маршрут, регулируемому-7 маршрутов)  тарифу.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этом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перевозки пассажиров и багажа автобусом относятся к регулярным перевозкам по регулируемым тарифам согласно статье 14 Закона. Основным показателем характеристики входа на рынок услуг является окупаемость муниципального маршрута. Ввиду невысокого пассажиропотока окупаемость маршрута низкая.  При несоответствии качества и состояния автомобильных дорог техническое состояние автобусного парка перевозчиков  не удовлетворяет требованиям. Администрация Дальнереченского муниципального района осуществляет конкурентные закупки в отношении оказания услуг по перевозке пассажиров и багажа автотранспортом путем проведения электронных аукционов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Конкурентные закупки в отношении оказания услуг по перевозке пассажиров и багажа автотранспортом размещаются на Единой электронной площадке, т.е. создаются равные условия доступа для участия в закупках для всех потенциальных участников.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Проблемные вопросы: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отсутствие конкуренции на рынке перевозок пассажиров</w:t>
            </w: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 xml:space="preserve"> автомобильным транспортом;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>- убыточность пассажирских перевозок.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>Задачи: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>- создание условий для развития конкуренции на рынке услуг пассажирских перевозок;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</w:rPr>
              <w:t>- развитие сектора негосударственных перевозчиков на муниципальных маршрутах пассажирского транспорта.</w:t>
            </w:r>
          </w:p>
        </w:tc>
      </w:tr>
      <w:tr>
        <w:trPr>
          <w:trHeight w:val="460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пассажиропотока и потребности в корректировке существующей маршрутной сети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размещенных нормативно-правовых актов в сфере пассажирских перевозок на официальных сайтах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Административно-хозяйственное управление 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Мониторинг пассажиропотока проводится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регулярно,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 основе предоставленных перевозчиками документов.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Внесение изменений в маршруты нет необходимости. </w:t>
            </w:r>
          </w:p>
        </w:tc>
      </w:tr>
      <w:tr>
        <w:trPr>
          <w:trHeight w:val="4552" w:hRule="atLeas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сети маршрутов регулярных перевозок пассажиров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размещенных нормативно-правовых актов в сфере пассажирских перевозок на официальных сайтах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Административно-хозяйственное управление 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Сформирована сеть маршрутов регулярных перевозок.</w:t>
            </w:r>
          </w:p>
        </w:tc>
      </w:tr>
      <w:tr>
        <w:trPr/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Организация проведения электронных аукционов на право осуществления перевозок по муниципальным маршрутам регулярных перевозок автомобильным транспортом  по регулируемым тарифам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муниципальных маршрутов регулярных перевозок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пассажиров наземным транспортом, на которых осуществляются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перевозки пассажиров негосударственными (немуниципальными)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перевозчиками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роценты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АХОЗУ Дальнереченского муниципального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Объявлены аукционы в «ЕИС закупки»  по  о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рганизации регулярных перевозок пассажиров и багажа автомобильным транспортом по регулируемым тарифам на 2022 год.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pacing w:val="2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pacing w:val="2"/>
          <w:sz w:val="26"/>
          <w:szCs w:val="26"/>
          <w:lang w:eastAsia="ru-RU"/>
        </w:rPr>
        <w:t>Системные мероприятия по содействию развитию конкуренции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pacing w:val="2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pacing w:val="2"/>
          <w:sz w:val="26"/>
          <w:szCs w:val="26"/>
          <w:lang w:eastAsia="ru-RU"/>
        </w:rPr>
      </w:r>
    </w:p>
    <w:tbl>
      <w:tblPr>
        <w:tblW w:w="15593" w:type="dxa"/>
        <w:jc w:val="left"/>
        <w:tblInd w:w="-150" w:type="dxa"/>
        <w:tblLayout w:type="fixed"/>
        <w:tblCellMar>
          <w:top w:w="0" w:type="dxa"/>
          <w:left w:w="149" w:type="dxa"/>
          <w:bottom w:w="0" w:type="dxa"/>
          <w:right w:w="149" w:type="dxa"/>
        </w:tblCellMar>
        <w:tblLook w:val="04a0"/>
      </w:tblPr>
      <w:tblGrid>
        <w:gridCol w:w="687"/>
        <w:gridCol w:w="4839"/>
        <w:gridCol w:w="3675"/>
        <w:gridCol w:w="2891"/>
        <w:gridCol w:w="3501"/>
      </w:tblGrid>
      <w:tr>
        <w:trPr>
          <w:tblHeader w:val="true"/>
          <w:trHeight w:val="692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Исполнители</w:t>
            </w:r>
          </w:p>
        </w:tc>
      </w:tr>
      <w:tr>
        <w:trPr>
          <w:trHeight w:val="352" w:hRule="atLeast"/>
        </w:trPr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ru-RU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Оказание информационно-консультационной, финансовой поддержки субъектам малого и среднего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В 2021 году было проведено 4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D0D0D"/>
                <w:sz w:val="26"/>
                <w:szCs w:val="26"/>
                <w:lang w:val="ru-RU" w:eastAsia="ru-RU"/>
              </w:rPr>
              <w:t xml:space="preserve">заседания Совета по улучшению инвестиционного климата и развитию предпринимательства при администрации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b w:val="false"/>
                <w:b w:val="false"/>
                <w:bCs w:val="false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D0D0D"/>
                <w:sz w:val="26"/>
                <w:szCs w:val="26"/>
                <w:lang w:val="ru-RU" w:eastAsia="ru-RU"/>
              </w:rPr>
              <w:t xml:space="preserve">Дальнереченского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 xml:space="preserve">муниципального района, на которых присутствовали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предприниматели всех форм собственности. Было проведено консультирование предпринимателей по вопросам налогообложения, социальной защиты. Доведена информация о  Всероссийской  переписи населения.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Регулярное консультирование    предпринимателей района по интересующим вопросам.</w:t>
            </w:r>
          </w:p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Поведение круглых столов,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3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0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ru-RU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Проведение мероприятий, направленных на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централизацию закупок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увеличению доли закупок, участниками которых являются только субъекты малого и среднего предпринимательства и социально ориентированные некоммерческие организации в сфере муниципального заказа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5" w:leader="none"/>
              </w:tabs>
              <w:suppressAutoHyphens w:val="true"/>
              <w:bidi w:val="0"/>
              <w:spacing w:lineRule="auto" w:line="240" w:before="0" w:after="0"/>
              <w:ind w:left="57" w:right="113" w:hanging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Достижение доли закупок товаров, работ услуг у субъектов малого и среднего предпринимательства в совокупном годовом объеме закупок крупнейших заказчиков - не менее 15 %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vMerge w:val="continue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увеличению количества участников конкурентных процедур определения поставщиков при осуществлении закупок для обеспечения муниципальных нужд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Недопущение злоупотребления при проведении закупки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6"/>
                <w:szCs w:val="26"/>
                <w:lang w:eastAsia="ru-RU"/>
              </w:rPr>
              <w:t>3. Развитие конкуренции в сфере распоряжения муниципальной собственностью</w:t>
            </w:r>
          </w:p>
        </w:tc>
      </w:tr>
      <w:tr>
        <w:trPr>
          <w:trHeight w:val="393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утверждение и актуализация перечня имущества, находящегося в собственности Дальнереченского муниципального района, свободного от прав третьих лиц, предназначенного для предоставления во владение или в пользование субъектам малого и среднего предпринимательства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Наличие утвержденного и актуализированного перечня имущества, находящегося в собственности Дальнереченского муниципального района, свободного от прав третьих лиц, предназначенного для предоставления во владение или в пользование субъектам малого и среднего предпринимательства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публичных торгов при реализации муниципального имущества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Недопущение коррупции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Информационно-консультационное сопровождение процессов применения механизмов муниципально-частного партнерства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</w:t>
            </w:r>
          </w:p>
        </w:tc>
      </w:tr>
      <w:tr>
        <w:trPr/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опубликования и актуализации на официальном сайте администрации Дальнереченского муниципального района информации о земельных участках, формирование которых предусмотрено для целей жилищного и иного строительства (указываются характеристики земе-льных участков на каждый плановый период, подлежащих формированию и последующему предоставлению для целей строительства)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Опубликование на официальном сайте администрации Дальнереченского муниципального района информации о земельных участках, формирование которых предусмотрено для целей жилищного и иного строительства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</w:tr>
      <w:tr>
        <w:trPr/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4. Обеспечение обучения муниципальных служащих основам государственной политики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развитию конкуренции и антимонопольного законодательства</w:t>
            </w:r>
          </w:p>
        </w:tc>
      </w:tr>
      <w:tr>
        <w:trPr>
          <w:trHeight w:val="2433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проведения обучающих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(повышение квалификации, семинары, иные мероприятия) для муниципальных служащих основам государственной политики по развитию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конкуренции и антимонопольного законодательства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37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3378"/>
            </w:tblGrid>
            <w:tr>
              <w:trPr>
                <w:trHeight w:val="391" w:hRule="atLeast"/>
              </w:trPr>
              <w:tc>
                <w:tcPr>
                  <w:tcW w:w="337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Увеличение численности муниципальных служащих, прошедших обучение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2019-2023 гг.</w:t>
            </w:r>
          </w:p>
        </w:tc>
        <w:tc>
          <w:tcPr>
            <w:tcW w:w="3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Отдел кадров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201930</wp:posOffset>
                      </wp:positionV>
                      <wp:extent cx="4007485" cy="26035"/>
                      <wp:effectExtent l="0" t="0" r="0" b="0"/>
                      <wp:wrapNone/>
                      <wp:docPr id="2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00" cy="17280"/>
                              </a:xfrm>
                              <a:prstGeom prst="line">
                                <a:avLst/>
                              </a:prstGeom>
                              <a:ln w="255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92.65pt,15.9pt" to="508.1pt,17.2pt" ID="Фигура1" stroked="t" style="position:absolute">
                      <v:stroke color="gray" weight="255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25400</wp:posOffset>
                      </wp:positionV>
                      <wp:extent cx="225425" cy="6985"/>
                      <wp:effectExtent l="0" t="0" r="0" b="0"/>
                      <wp:wrapNone/>
                      <wp:docPr id="3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4640" cy="1800"/>
                              </a:xfrm>
                              <a:prstGeom prst="line">
                                <a:avLst/>
                              </a:prstGeom>
                              <a:ln w="255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92.65pt,2pt" to="210.3pt,2.1pt" ID="Фигура2" stroked="t" style="position:absolute;flip:x">
                      <v:stroke color="gray" weight="255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58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на официальном сайте администрации Дальнереченского муниципального района раздела, посвященного развитию конкуренции и ведение его в актуальном виде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Наличие на официальном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сайте администрации Дальнереченском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раздела, посвященного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развитию конкуренции 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ведение его в актуальном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виде</w:t>
            </w:r>
          </w:p>
        </w:tc>
        <w:tc>
          <w:tcPr>
            <w:tcW w:w="2891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5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0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50443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2603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23287"/>
    <w:pPr>
      <w:spacing w:before="0" w:after="200"/>
      <w:ind w:left="720" w:hanging="0"/>
      <w:contextualSpacing/>
    </w:pPr>
    <w:rPr/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844F-F7FF-4A1F-879E-BB6CE3CE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Application>LibreOffice/7.0.3.1$Windows_X86_64 LibreOffice_project/d7547858d014d4cf69878db179d326fc3483e082</Application>
  <Pages>13</Pages>
  <Words>1958</Words>
  <Characters>15530</Characters>
  <CharactersWithSpaces>17299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2019-08-29T22:21:00Z</dcterms:created>
  <dc:creator>Орлова Наталья Александровна</dc:creator>
  <dc:description/>
  <dc:language>ru-RU</dc:language>
  <cp:lastModifiedBy/>
  <cp:lastPrinted>2021-04-06T11:09:10Z</cp:lastPrinted>
  <dcterms:modified xsi:type="dcterms:W3CDTF">2022-01-17T10:09:02Z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