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overflowPunct w:val="true"/>
        <w:spacing w:before="0" w:after="0"/>
        <w:ind w:right="-6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ЗАКЛЮЧЕНИЕ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hanging="0"/>
        <w:jc w:val="center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по результатам внешней проверки годового отчёта 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hanging="0"/>
        <w:jc w:val="center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об исполнении бюджета Ореховского сельского поселения за 2019 год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hanging="0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hanging="0"/>
        <w:outlineLvl w:val="1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Основания проверки: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ст.157</w:t>
      </w:r>
      <w:r>
        <w:rPr>
          <w:rFonts w:cs="Times New Roman" w:ascii="Times New Roman" w:hAnsi="Times New Roman"/>
          <w:sz w:val="24"/>
          <w:szCs w:val="24"/>
          <w:lang w:eastAsia="ru-RU"/>
        </w:rPr>
        <w:t>, ст.264.4 Бюджетного кодекса Российской Федерации,</w:t>
      </w:r>
      <w:r>
        <w:rPr>
          <w:rFonts w:cs="Times New Roman" w:ascii="Times New Roman" w:hAnsi="Times New Roman"/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ст.6 Положения о Контрольно-счётной палате Дальнереченского муниципального района, Соглашение от 09 января 2019 года № 3 о передаче Контрольно-счётной палате Дальнереченского муниципального района части полномочий контрольно-счётного органа Ореховского сельского поселения по осуществлению внешнего муниципального финансового контроля, плана работы </w:t>
      </w:r>
      <w:r>
        <w:rPr>
          <w:rFonts w:cs="Times New Roman" w:ascii="Times New Roman" w:hAnsi="Times New Roman"/>
          <w:sz w:val="24"/>
          <w:szCs w:val="24"/>
        </w:rPr>
        <w:t>Контрольно-счетной палаты Дальнереченского муниципального района на  2020 года</w:t>
      </w:r>
      <w:r>
        <w:rPr>
          <w:rFonts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Цель проверки: </w:t>
      </w:r>
      <w:r>
        <w:rPr>
          <w:rFonts w:cs="Times New Roman" w:ascii="Times New Roman" w:hAnsi="Times New Roman"/>
          <w:sz w:val="24"/>
          <w:szCs w:val="24"/>
          <w:lang w:eastAsia="ru-RU"/>
        </w:rPr>
        <w:t>соответствие годового отчёта муниципального образования требованиям бюджетного законодательства и Инструкции «О порядке составления и предоставления годовой, квартальной и месячной отчётности об исполнении бюджетов бюджетной системы Российской Федерации», утверждённой приказом Министерства финансов РФ от 28.12.2010 г. № 191н,</w:t>
      </w:r>
      <w:r>
        <w:rPr>
          <w:rFonts w:cs="Times New Roman" w:ascii="Times New Roman" w:hAnsi="Times New Roman"/>
          <w:sz w:val="24"/>
          <w:szCs w:val="24"/>
        </w:rPr>
        <w:t xml:space="preserve"> положениям нормативных правовых актов по бюджетному процессу, а также установление полноты и достоверности отчета об исполнении бюджета Ореховского сельского поселения  за 2019 год.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Задачи проверки: </w:t>
      </w:r>
      <w:r>
        <w:rPr>
          <w:rFonts w:cs="Times New Roman" w:ascii="Times New Roman" w:hAnsi="Times New Roman"/>
          <w:sz w:val="24"/>
          <w:szCs w:val="24"/>
          <w:lang w:eastAsia="ru-RU"/>
        </w:rPr>
        <w:t>оценка достоверности и полноты отчёта об исполнении бюджета Ореховского сельского поселения за 2019 год, для реализации данной цели в ходе проверки решались следующие задачи: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анализ исполнения бюджета поселения по доходам, в том числе анализ   доходов в бюджет поселения;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анализ исполнения бюджета по расходам, в том числе анализ плановых показателей по разделам классификации расходов бюджета;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Объект проверки: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администрация Ореховского сельского поселения. 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Критерии проверки: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проверка Отчёта об исполнении бюджета осуществлялась по следующим критериям: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соответствие отчётности главного администратора бюджетных средств и Отчёта об исполнении бюджета требованиям Бюджетного кодекса Российской Федерации (далее БК РФ), федерального и краевого законодательства, правовым актам Ореховского сельского поселения;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правильность формирования отчётности главным администратором бюджетных средств, своевременность представления отчётности;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соответствие показателей исполнения бюджета утверждённым бюджетным назначениям.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Начало проверки: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17</w:t>
      </w:r>
      <w:r>
        <w:rPr>
          <w:rFonts w:cs="Times New Roman" w:ascii="Times New Roman" w:hAnsi="Times New Roman"/>
          <w:sz w:val="24"/>
          <w:szCs w:val="24"/>
          <w:lang w:eastAsia="ru-RU"/>
        </w:rPr>
        <w:t>.04.2020 г.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Окончание проверки: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24.04.</w:t>
      </w:r>
      <w:r>
        <w:rPr>
          <w:rFonts w:cs="Times New Roman" w:ascii="Times New Roman" w:hAnsi="Times New Roman"/>
          <w:sz w:val="24"/>
          <w:szCs w:val="24"/>
          <w:lang w:eastAsia="ru-RU"/>
        </w:rPr>
        <w:t>2020 г.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Заключение на годовой отчёт об исполнении бюджета Ореховского сельского поселения за 2018 год подготовлено в соответствии со ст.264.4 БК РФ на основе годовой бюджетной отчётности, составленной администрацией Ореховского сельского поселения.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Проведённая, в соответствии с требованиями ст.264.4 БК РФ, внешняя проверка бюджетной отчётности показала следующее.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Представленная годовая бюджетная отчётность Ореховского сельского поселения за 2019 год </w:t>
      </w:r>
      <w:r>
        <w:rPr>
          <w:rFonts w:cs="Times New Roman" w:ascii="Times New Roman" w:hAnsi="Times New Roman"/>
          <w:sz w:val="24"/>
          <w:szCs w:val="24"/>
          <w:lang w:eastAsia="ar-SA"/>
        </w:rPr>
        <w:t>соответствует требованиям п.11.1 Инструкции, утверждённой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содержит следующие формы</w:t>
      </w:r>
      <w:r>
        <w:rPr>
          <w:rFonts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right="-6" w:hanging="0"/>
        <w:jc w:val="both"/>
        <w:outlineLvl w:val="1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          </w:t>
      </w: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- Справку по заключению счетов бюджетного учёта отчётного финансового года (ф.0503110);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-  </w:t>
      </w: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Отчет об исполнении бюджета (ф.0503117);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Баланс исполнения бюджета (ф.0503120);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Отчет о финансовых результатах деятельности (ф.0503121);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Отчет о движении денежных средств (ф.0503123);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Справка по консолидируемым расчетам (доходы) (ф.0503125);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Отчет о принятых бюджетных обязательствах (ф.0503128);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Пояснительная записка (ф.0503160);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Сведения о количестве подведомственных учреждений (ф.0503161);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Сведения об исполнении бюджета (доходы) (ф.0503164);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 Сведения о движении нефинансовых активов (ф.0503168);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 xml:space="preserve">-Сведения о дебиторской и кредиторской задолженности (ф.0503169); 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ar-SA"/>
        </w:rPr>
        <w:t>-Сведения об изменении остатков валюты баланса (бюджетная деятельность) (ф.0503173);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Проведённая в соответствии с требованиями ст. 264.4 БК РФ и Инструкции 191н внешняя проверка бюджетной отчётности показала следующее. 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Данные о нефинансовых и финансовых активах, обязательствах муниципального образования Ореховского сельского поселения и финансового результата, характеризующего чистую стоимость активов и её увеличение за 2019 год, отражены в балансе исполнения бюджета (ф.0503120). Согласно данным Баланса активы Ореховского сельского поселения в денежном выражении за 2019 год увеличились на 317,85 тыс. рублей и по состоянию на 01.01.2020 года составили 13 283,63 тыс. рублей.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Остаточная стоимость нефинансовых активов на 01.01.2020 года по сравнению с данными на начало 2019 года увеличилась на 14,85 тыс. рублей и составила 381,27 тыс. рублей.  Основную долю в общем объёме нефинансовых активов (65,50%) составляют нефинансовые активы имущества казны, остаточной стоимостью 8 293,41 тыс. рублей.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Балансовая стоимость основных средств на 01.01.2020 г. по сравнению с предыдущим периодом увеличилась на 62,79 тыс. рублей и составила 1704,05 тыс. рублей. Материальные запасов на 01.01.2020 нет.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Общий объём финансовых активов муниципального образования увеличился за 2019 год на 303,00 тыс. рублей и по состоянию на 01.01.2020 г. составил 621,75 тыс. рублей. По данному разделу отражены средства на счетах бюджета в органе Федерального казначейства в сумме 469,20 тыс. рублей. </w:t>
      </w:r>
    </w:p>
    <w:p>
      <w:pPr>
        <w:pStyle w:val="ConsPlusNonformat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Представленная Пояснительная записка (ф.0503160) по форме и содержанию не соответствует требованиям, установленным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так как не содержит в себе: </w:t>
      </w:r>
    </w:p>
    <w:p>
      <w:pPr>
        <w:pStyle w:val="ConsPlusNonformat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отчетности, при этом информация о проведения инвентаризации подлежит отражению в разделе 5 «Прочие вопросы деятельности субъекта бюджетной отчетности» текстовой части Пояснительной записки (ф. 0503160).</w:t>
      </w:r>
    </w:p>
    <w:p>
      <w:pPr>
        <w:pStyle w:val="ConsPlusNonformat"/>
        <w:spacing w:lineRule="auto" w:line="276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>Годовой отчёт «Об исполнении бюджета Ореховского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сельского поселения за 2019 год» (далее Отчёт), годовая бюджетная отчётность главного распорядителя бюджетных средств за 2019 год представлены администрацией Ореховского сельского поселения для подготовки заключения в срок, установленный БК РФ.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 сформирован в соответствии с приказом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(в ред. от 16.11.2016).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Пакет документов и материалов, предоставляемых к Отчету в обязательном порядке, представлен в Контрольно-счетную палату Дальнереченского муниципального района в полном соответствии с требованиями ст. 264.1 Бюджетного кодекса РФ.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В соответствии с п.7 Инструкции о порядке составления и предоставления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г. №191н (далее Инструкция 191н), показатели бюджетной отчётности Ореховского сельского поселения соответствуют данным Главной книги. 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В целях обеспечения достоверности данных бюджетного учёта и бюджетной отчётности, администрацией Ореховского сельского поселения на основании ст.11 Федерального закона от 06.12.2011 №402-ФЗ «О бухгалтерском учёте», п.7 Инструкции 191н перед составлением годовой бюджетной отчетности проведена инвентаризация активов и обязательств за 2019 год в установленном порядке. Нарушений не установлено.</w:t>
      </w:r>
    </w:p>
    <w:p>
      <w:pPr>
        <w:pStyle w:val="Normal"/>
        <w:suppressAutoHyphens w:val="true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before="0" w:after="0"/>
        <w:ind w:firstLine="54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ar-SA"/>
        </w:rPr>
        <w:t>Организация бюджетного процесса в Ореховском сельском поселении в 2019 году.</w:t>
      </w:r>
    </w:p>
    <w:p>
      <w:pPr>
        <w:pStyle w:val="Normal"/>
        <w:suppressAutoHyphens w:val="true"/>
        <w:spacing w:before="0" w:after="0"/>
        <w:ind w:firstLine="54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2019 году бюджетный процесс в Ореховском сельском поселении осуществлялся в соответствии с Бюджетным кодексом Российской Федерации и соответствующими нормативно-правовыми актами. Основные вопросы организации бюджетного процесса в поселении закреплены в Уставе муниципального образования Ореховского сельского поселение и положении о бюджетном устройстве, бюджетном процессе и межбюджетных отношениях в Ореховском сельском поселении (далее положение о бюджетном процессе), утвержденном решением муниципального комитета от 20.07.2016 года № 28 (с изменением от 20.11.2017года № 61, решение от 05.07.2019года № 118).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положением о бюджетном процессе, бюджет Ореховского сельского поселения на 2019 год принят и опубликован до начала финансового года. Бюджет поселения утвержден на заседании муниципального комитета Ореховского сельского поселения от 28.12.2018года № 98 по доходам в сумме 3488,30 тыс. руб., по расходам 3488,30 тыс. руб. Сводная бюджетная роспись составлена и утверждена в сроки, установленные ст.217 Бюджетного кодекса РФ и положением о бюджетном процессе в сельском поселении. В течение года в решение о бюджете на 2019 год изменения вносились три раза. В окончательной редакции бюджет поселения на 2019 год утвержден решением муниципального комитета Ореховского сельского поселения 20 декабря 2019г.№ 138 по доходам 4604,06 тыс. руб. и по расходам в сумме 4408,04 тыс. руб., с профицитом 196,03 тыс. руб. Фактически бюджет Ореховского сельского поселения исполнен по доходам в размере 4437,66 тыс. руб., по расходам в размере 4139,27 тыс. руб., с профицитом в размере 298,39 тыс. руб.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Анализ исполнения основных параметров бюджета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за 2019 год.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Окончательно бюджет Ореховского сельского поселения утвержден по доходам в размере 4604,06 тыс. руб. и по расходам в сумме 4408,04 тыс. руб., с профицитом 196,03 тыс. руб. Изменения отражены в уточненной сводной бюджетной росписи. Всего за 2019 год согласно отчета об исполнении бюджета в доходы бюджета Ореховского сельского поселения поступило 4437,66 тыс. руб. или 96,39% от уточненного плана. Расходы бюджета поселения исполнены на 4139,27 тыс. руб. или на 94,96 % от уточненных бюджетных ассигнований. Бюджет поселения исполнен с профицитом 298,39 тыс. руб. Утверждение и доведение уведомлений о бюджетных ассигнованиях осуществлялось в соответствии со ст.217 пункт 5 Бюджетного кодекса РФ.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eastAsia="ar-SA"/>
        </w:rPr>
        <w:t>Анализ исполнения доходной части бюджета поселения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Первоначальные плановые назначения по доходам бюджета в течение года изменялись решениями муниципального комитета Ореховского сельского поселения, увеличившись на 1115,76 тыс. руб., или на 24,23 % и составили 4604,06 тыс. руб.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Согласно отчету об исполнении бюджета в доходы бюджета Ореховского сельского поселения поступило 4437,66 тыс. руб., или 96,39% к уточненному плану, и на 212,89 тыс. руб. больше, чем в предыдущем году, в том числе: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-налоговые доходы- 872,35 тыс. руб., или 152,40%, что на 299,95 тыс. руб. больше 2018 года;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-неналоговые доходы- 37,00 тыс. руб., или 96,23%, что на 1,45 тыс. руб. меньше 2018 года;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-безвозмездные поступления- 3528,30 тыс. руб., или 97,63 %, что на 85,62 тыс. руб. меньше 2018 года;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Удельный вес налоговых доходов в общем объеме доходов 2019 года составил 19,66%, неналоговых доходов-0,83%, безвозмездных поступлений-79,51%, при этом аналогичные показатели в 2018 году составили 13,55%, 0,91%, 85,54% соответственно.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Налог на доходы физических лиц</w:t>
      </w:r>
      <w:r>
        <w:rPr>
          <w:rFonts w:cs="Times New Roman" w:ascii="Times New Roman" w:hAnsi="Times New Roman"/>
          <w:sz w:val="24"/>
          <w:szCs w:val="24"/>
        </w:rPr>
        <w:t xml:space="preserve"> является налогом, формирующим доходную часть бюджета поселения, который составляет 14,05 % всех его налоговых доходов. В течение года поступило 122,56 тыс. руб., или 109,43 % к уточненному плану. Перевыполнение за счет увеличения налогооблагаемой базы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Основой поступления явился земельный налог </w:t>
      </w:r>
      <w:r>
        <w:rPr>
          <w:rFonts w:cs="Times New Roman" w:ascii="Times New Roman" w:hAnsi="Times New Roman"/>
          <w:sz w:val="24"/>
          <w:szCs w:val="24"/>
        </w:rPr>
        <w:t xml:space="preserve">за 2019 год поступил в сумме 511,09 тыс. руб., от уточненного плана 102,01%, что составляет 174,55% к значению 2018 года.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Налог на имущество физических лиц</w:t>
      </w:r>
      <w:r>
        <w:rPr>
          <w:rFonts w:cs="Times New Roman" w:ascii="Times New Roman" w:hAnsi="Times New Roman"/>
          <w:sz w:val="24"/>
          <w:szCs w:val="24"/>
        </w:rPr>
        <w:t xml:space="preserve"> за 2019 год поступил в сумме 86,25 тыс. руб., или 99,14% от утвержденного плана, к значению 2018 года это составило 85,50%.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Поступления по госпошлине</w:t>
      </w:r>
      <w:r>
        <w:rPr>
          <w:rFonts w:cs="Times New Roman" w:ascii="Times New Roman" w:hAnsi="Times New Roman"/>
          <w:sz w:val="24"/>
          <w:szCs w:val="24"/>
        </w:rPr>
        <w:t xml:space="preserve"> за 2018 год составили 19,55 тыс. руб., или 130,33%к уточненному плану и к значению 2018 года составило 115,00%. Госпошлина поступила за фактические нотариальные действия.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Налог на совокупный доход – поступление по единому сельскохозяйственному налогу </w:t>
      </w:r>
      <w:r>
        <w:rPr>
          <w:rFonts w:cs="Times New Roman" w:ascii="Times New Roman" w:hAnsi="Times New Roman"/>
          <w:sz w:val="24"/>
          <w:szCs w:val="24"/>
        </w:rPr>
        <w:t>за 2019 год поступил в сумме 132,90 тыс. руб., или 99,92% к уточненному плану.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Сумма неналоговых доходов</w:t>
      </w:r>
      <w:r>
        <w:rPr>
          <w:rFonts w:cs="Times New Roman" w:ascii="Times New Roman" w:hAnsi="Times New Roman"/>
          <w:sz w:val="24"/>
          <w:szCs w:val="24"/>
        </w:rPr>
        <w:t xml:space="preserve"> в 2019 году составила 37,00 тыс. руб., или 96,23% к значению 2018г, в общей доле доходов неналоговые доходы составляют 0,83 %, в доле собственных доходов 4,07 %.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Наблюдается снижение аналогичного показателя прошлого года на 1,45 тыс. рублей или в 1,04 раза по сравнению 2018года.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Доходы от использования имущества находящегося в государственной и муниципальной собственности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2019 год составила 9,00 тыс. руб., или 100,0% к уточненному плану.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Прочие доходы от оказания платных услуг компенсации затрат государства </w:t>
      </w:r>
      <w:r>
        <w:rPr>
          <w:rFonts w:cs="Times New Roman" w:ascii="Times New Roman" w:hAnsi="Times New Roman"/>
          <w:sz w:val="24"/>
          <w:szCs w:val="24"/>
        </w:rPr>
        <w:t>составили в 2019 году 24,00 тыс. руб., или к уточненному плану100,00%.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Штрафы, санкции, возмещение ущерба </w:t>
      </w:r>
      <w:r>
        <w:rPr>
          <w:rFonts w:cs="Times New Roman" w:ascii="Times New Roman" w:hAnsi="Times New Roman"/>
          <w:sz w:val="24"/>
          <w:szCs w:val="24"/>
        </w:rPr>
        <w:t>составили в 2019 году 4,00 тыс. руб., или к уточненному плану 100,00%. Поступило денежных взысканий (штрафов) за нарушение правопорядка жителей поселения.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Третья часть поступлений в бюджет приходится на безвозмездные перечисления в 2019 году они составили 3528,30 тыс. руб., или 94,85% к уточненному плану и к значению прошлого года 97,63%.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Исполнение бюджета поселения в 2019 году по расходным обязательствам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Расходная часть бюджета исполнена на 94,96% к уточненным плановым назначениям или в сумме 4139,27 тыс. руб. Динамика расходных обязательств бюджета отражена в таблице №1.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Таблица №1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тыс. рублей</w:t>
      </w:r>
    </w:p>
    <w:tbl>
      <w:tblPr>
        <w:tblW w:w="95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53"/>
        <w:gridCol w:w="1003"/>
        <w:gridCol w:w="1134"/>
        <w:gridCol w:w="1002"/>
        <w:gridCol w:w="1010"/>
        <w:gridCol w:w="991"/>
        <w:gridCol w:w="959"/>
        <w:gridCol w:w="1161"/>
      </w:tblGrid>
      <w:tr>
        <w:trPr>
          <w:trHeight w:val="390" w:hRule="atLeast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расходов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Исполнение 2019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Структура в %</w:t>
            </w:r>
          </w:p>
        </w:tc>
      </w:tr>
      <w:tr>
        <w:trPr>
          <w:trHeight w:val="435" w:hRule="atLeast"/>
        </w:trPr>
        <w:tc>
          <w:tcPr>
            <w:tcW w:w="2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2018г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на год уточнен.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ич исполнено тыс. руб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утвержд. в 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плану на год уточнен.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 .план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 исполнено</w:t>
            </w:r>
          </w:p>
        </w:tc>
      </w:tr>
      <w:tr>
        <w:trPr>
          <w:trHeight w:val="435" w:hRule="atLeast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1812,90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2169,79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2143,01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118,21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98,77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49,78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51,77</w:t>
            </w:r>
          </w:p>
        </w:tc>
      </w:tr>
      <w:tr>
        <w:trPr>
          <w:trHeight w:val="435" w:hRule="atLeast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Национальная оборона (ВУС)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138,83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138,83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109,61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3,19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3,35</w:t>
            </w:r>
          </w:p>
        </w:tc>
      </w:tr>
      <w:tr>
        <w:trPr>
          <w:trHeight w:val="435" w:hRule="atLeast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183,29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172,38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62,09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94,05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4,16</w:t>
            </w:r>
          </w:p>
        </w:tc>
      </w:tr>
      <w:tr>
        <w:trPr>
          <w:trHeight w:val="435" w:hRule="atLeast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91,45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88,81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117,60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97,11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2,15</w:t>
            </w:r>
          </w:p>
        </w:tc>
      </w:tr>
      <w:tr>
        <w:trPr>
          <w:trHeight w:val="435" w:hRule="atLeast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686,47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544,22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71,36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79,28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13,15</w:t>
            </w:r>
          </w:p>
        </w:tc>
      </w:tr>
      <w:tr>
        <w:trPr>
          <w:trHeight w:val="435" w:hRule="atLeast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Культура,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1088,94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1052,02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96,61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24,98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25,42</w:t>
            </w:r>
          </w:p>
        </w:tc>
      </w:tr>
      <w:tr>
        <w:trPr>
          <w:trHeight w:val="435" w:hRule="atLeast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4106,81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4358,77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4139,27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100,79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94,96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Наибольший удельный вес в общей структуре расходов бюджета Ореховского сельского поселения занимают общегосударственные расходы 51,77%, национальная экономика 13,15%, культура и кинематография 25,42%. Исполнение бюджета по расходам за 2019 год составило 100,00%, по одной статье расходов (национальная оборона), что подтверждается данными таблицы №2.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Таблица№2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тыс. рублей</w:t>
      </w:r>
    </w:p>
    <w:tbl>
      <w:tblPr>
        <w:tblW w:w="95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52"/>
        <w:gridCol w:w="926"/>
        <w:gridCol w:w="1465"/>
        <w:gridCol w:w="1015"/>
        <w:gridCol w:w="1396"/>
        <w:gridCol w:w="757"/>
        <w:gridCol w:w="1403"/>
      </w:tblGrid>
      <w:tr>
        <w:trPr>
          <w:trHeight w:val="255" w:hRule="atLeast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</w:tr>
      <w:tr>
        <w:trPr>
          <w:trHeight w:val="315" w:hRule="atLeast"/>
        </w:trPr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исполнено</w:t>
            </w:r>
          </w:p>
        </w:tc>
      </w:tr>
      <w:tr>
        <w:trPr>
          <w:trHeight w:val="225" w:hRule="atLeast"/>
        </w:trPr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Удельный вес в структуре расходов</w:t>
            </w:r>
          </w:p>
        </w:tc>
      </w:tr>
      <w:tr>
        <w:trPr>
          <w:trHeight w:val="225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2169,79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2143,01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-26,78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98,77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51,77</w:t>
            </w:r>
          </w:p>
        </w:tc>
      </w:tr>
      <w:tr>
        <w:trPr>
          <w:trHeight w:val="225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Национальная оборона (ВУС)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138,83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138,83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3,35</w:t>
            </w:r>
          </w:p>
        </w:tc>
      </w:tr>
      <w:tr>
        <w:trPr>
          <w:trHeight w:val="225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183,29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172,38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-10,91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94,05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4,16</w:t>
            </w:r>
          </w:p>
        </w:tc>
      </w:tr>
      <w:tr>
        <w:trPr>
          <w:trHeight w:val="225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91,45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88,81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-2,64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97,11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2,15</w:t>
            </w:r>
          </w:p>
        </w:tc>
      </w:tr>
      <w:tr>
        <w:trPr>
          <w:trHeight w:val="225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686,47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544,22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-142,25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79,28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13,15</w:t>
            </w:r>
          </w:p>
        </w:tc>
      </w:tr>
      <w:tr>
        <w:trPr>
          <w:trHeight w:val="225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Культура,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1088,94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1052,02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-36,92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96,61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25,42</w:t>
            </w:r>
          </w:p>
        </w:tc>
      </w:tr>
      <w:tr>
        <w:trPr>
          <w:trHeight w:val="225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4358,77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4139,27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-219,50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94,96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Общая сумма финансирования за 2019 год составила 4358,77 тыс. руб., что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составляет 94,96 % исполнения бюджета. </w:t>
      </w:r>
    </w:p>
    <w:p>
      <w:pPr>
        <w:pStyle w:val="Normal"/>
        <w:rPr>
          <w:rFonts w:ascii="Times New Roman" w:hAnsi="Times New Roman" w:eastAsia="Courier New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течение 2019 года на реализацию муниципальных программ было направлено 2050,15 тыс. руб. или 47,04% от общего объема расходов.</w:t>
      </w:r>
    </w:p>
    <w:p>
      <w:pPr>
        <w:pStyle w:val="Normal"/>
        <w:ind w:firstLine="900"/>
        <w:jc w:val="both"/>
        <w:rPr>
          <w:rFonts w:ascii="Times New Roman" w:hAnsi="Times New Roman" w:eastAsia="Courier New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Наибольший удельный вес составляют расходы на реализацию следующих муниципальных программ:</w:t>
      </w:r>
    </w:p>
    <w:p>
      <w:pPr>
        <w:pStyle w:val="Normal"/>
        <w:ind w:firstLine="900"/>
        <w:jc w:val="both"/>
        <w:rPr>
          <w:rFonts w:ascii="Times New Roman" w:hAnsi="Times New Roman" w:eastAsia="Courier New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МП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Развитие и сохранение культуры на территории Ореховского сельского поселения на 2017-2021 годы</w:t>
      </w:r>
      <w:r>
        <w:rPr>
          <w:rFonts w:cs="Times New Roman" w:ascii="Times New Roman" w:hAnsi="Times New Roman"/>
          <w:color w:val="000000"/>
          <w:sz w:val="24"/>
          <w:szCs w:val="24"/>
        </w:rPr>
        <w:t>» 1052,02 тыс. руб. или 56,64%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ascii="Times New Roman" w:hAnsi="Times New Roman" w:eastAsia="Courier New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МП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Благоустройство территории в Ореховском сельском поселении на 2017-2021 годы</w:t>
      </w:r>
      <w:r>
        <w:rPr>
          <w:rFonts w:cs="Times New Roman" w:ascii="Times New Roman" w:hAnsi="Times New Roman"/>
          <w:color w:val="000000"/>
          <w:sz w:val="24"/>
          <w:szCs w:val="24"/>
        </w:rPr>
        <w:t>» - 805,41 тыс. руб. или 43,36% в общих расходах на реализацию муниципальных программ,</w:t>
      </w:r>
    </w:p>
    <w:p>
      <w:pPr>
        <w:pStyle w:val="Normal"/>
        <w:ind w:firstLine="540"/>
        <w:jc w:val="both"/>
        <w:rPr>
          <w:rFonts w:ascii="Times New Roman" w:hAnsi="Times New Roman" w:eastAsia="Courier New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2019 году расходы бюджета поселения формировались в рамках следующих муниципальных программ:</w:t>
      </w:r>
    </w:p>
    <w:tbl>
      <w:tblPr>
        <w:tblW w:w="101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3"/>
        <w:gridCol w:w="6090"/>
        <w:gridCol w:w="1460"/>
        <w:gridCol w:w="996"/>
        <w:gridCol w:w="997"/>
      </w:tblGrid>
      <w:tr>
        <w:trPr/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>
        <w:trPr/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«Развитие и сохранение культуры на территории Ореховского сельского поселения на 2017-2021 годы»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96,61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1088,94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1052,02</w:t>
            </w:r>
          </w:p>
        </w:tc>
      </w:tr>
      <w:tr>
        <w:trPr>
          <w:trHeight w:val="632" w:hRule="atLeast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«Благоустройство территории на Ореховского сельского поселения на 2017-2021 годы»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83,79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961,21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805,41</w:t>
            </w:r>
          </w:p>
        </w:tc>
      </w:tr>
      <w:tr>
        <w:trPr>
          <w:trHeight w:val="632" w:hRule="atLeast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2050,15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ourier New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1857,43</w:t>
            </w:r>
          </w:p>
        </w:tc>
      </w:tr>
    </w:tbl>
    <w:p>
      <w:pPr>
        <w:pStyle w:val="Normal"/>
        <w:tabs>
          <w:tab w:val="clear" w:pos="708"/>
          <w:tab w:val="left" w:pos="900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Выводы и рекомендации: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ListParagraph"/>
        <w:spacing w:before="0" w:after="0"/>
        <w:ind w:left="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Заключение на годовой отчет об исполнении бюджета Ореховского сельского поселения за 2019 год подготовлено в соответствии со ст. 157, ст. 264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Дальнереченского муниципального района, </w:t>
      </w:r>
      <w:r>
        <w:rPr>
          <w:rFonts w:cs="Times New Roman" w:ascii="Times New Roman" w:hAnsi="Times New Roman"/>
          <w:sz w:val="24"/>
          <w:szCs w:val="24"/>
          <w:lang w:eastAsia="ru-RU"/>
        </w:rPr>
        <w:t>Соглашения от 09.01.2020 № 3 «О передаче Контрольно-счетной палате Дальнереченского муниципального района части полномочий контрольно-счетного органа Ореховского сельского поселения по осуществлению внешнего муниципального финансового контроля»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240"/>
        <w:ind w:firstLine="4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Проведенная в соответствии с требованиями ст. 264.4 Бюджетного кодекса Российской Федерации 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 внешняя проверка бюджетной отчетности Ореховского сельского поселения, показала следующее.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before="0" w:after="240"/>
        <w:ind w:firstLine="4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Годовой отчет «Об исполнении бюджета Ореховского сельского поселения за 2019 год» (далее – Отчет), годовая бюджетная отчетность главного распорядителя бюджетных средств за 2019 год представлены администрацией Ореховского сельского поселения для подготовки заключения в срок, установленный Бюджетным кодексом РФ, </w:t>
      </w:r>
      <w:r>
        <w:rPr>
          <w:rFonts w:cs="Times New Roman" w:ascii="Times New Roman" w:hAnsi="Times New Roman"/>
          <w:bCs/>
          <w:sz w:val="24"/>
          <w:szCs w:val="24"/>
        </w:rPr>
        <w:t>Положения о бюджетном устройстве и бюджетном процессе в Ореховском</w:t>
      </w:r>
      <w:r>
        <w:rPr>
          <w:rFonts w:cs="Times New Roman" w:ascii="Times New Roman" w:hAnsi="Times New Roman"/>
          <w:sz w:val="24"/>
          <w:szCs w:val="24"/>
        </w:rPr>
        <w:t xml:space="preserve"> сельском поселении</w:t>
      </w:r>
      <w:r>
        <w:rPr>
          <w:rFonts w:cs="Times New Roman" w:ascii="Times New Roman" w:hAnsi="Times New Roman"/>
          <w:bCs/>
          <w:sz w:val="24"/>
          <w:szCs w:val="24"/>
        </w:rPr>
        <w:t xml:space="preserve">. 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right="-142"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 сформирован в соответствии с приказом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(в ред. от 16.11.2016).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right="-142" w:firstLine="4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Пакет документов и материалов, предоставляемых к Отчету в обязательном порядке, представлен в Контрольно-счетную палату Дальнереченского муниципального района в полном соответствии с требованиями ст. 264.1 Бюджетного кодекса РФ.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142" w:leader="none"/>
        </w:tabs>
        <w:spacing w:before="0" w:after="0"/>
        <w:ind w:right="-142" w:firstLine="44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>
      <w:pPr>
        <w:pStyle w:val="Normal"/>
        <w:suppressAutoHyphens w:val="true"/>
        <w:spacing w:before="0" w:after="0"/>
        <w:ind w:firstLine="4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В ходе проверки установлено, что утвержденные показатели бюджетной росписи соответствуют решению о бюджете на 2019 год (с изменениями и дополнениями), что соответствует требованиям ст. 217 Бюджетного кодекса РФ. </w:t>
      </w:r>
    </w:p>
    <w:p>
      <w:pPr>
        <w:pStyle w:val="Normal"/>
        <w:suppressAutoHyphens w:val="true"/>
        <w:spacing w:before="0" w:after="0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Плановые бюджетные назначения, отраженные в ф. 0503117 «Отчет об исполнении бюджета» по разделу 1. «Доходы бюджета» соответствуют утвержденным решением о бюджете плановым (прогнозным) показателям по доходам; по разделу 2. «Расходы бюджета», соответствуют сумме назначений, отраженных в сводной бюджетной росписи, что соответствует Инструкции № 191н.</w:t>
      </w:r>
    </w:p>
    <w:p>
      <w:pPr>
        <w:pStyle w:val="ConsPlusNonformat"/>
        <w:spacing w:lineRule="auto" w:line="276"/>
        <w:ind w:firstLine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Пояснительная записка (ф.0503160) по форме и содержанию не соответствует требованиям, установленным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так как не содержит в себе: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отчетности, при этом информация о проведения инвентаризации подлежит отражению в разделе 5 «Прочие вопросы деятельности субъекта бюджетной отчетности» текстовой части Пояснительной записки (ф. 0503160.</w:t>
      </w:r>
    </w:p>
    <w:p>
      <w:pPr>
        <w:pStyle w:val="ConsPlusNonformat"/>
        <w:spacing w:lineRule="auto" w:line="27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показали результаты проведенной внешней проверки, при составлении бюджетной отчетности Администрацией муниципального образования Ореховского сельского поселения были допущены следующие нарушения и недостатки: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10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при составлении годовой бюджетной отчетности, существенным образом не повлиявшие на ее достоверность: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-Сумма неэффективных расходов за 2019 год составила 58,11 тыс. рублей (штрафы за нарушение законодательства о налогах и сборах прошлых лет-55,85 тыс. рублей, экономические санкции – 2,26 тыс. рублей).</w:t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-в нарушение пункта 6 Инструкции 191н формы 0503117,0503124,0503127,0503128, не подписаны руководителем финансово-экономической службы.</w:t>
      </w:r>
    </w:p>
    <w:p>
      <w:pPr>
        <w:pStyle w:val="Normal"/>
        <w:suppressAutoHyphens w:val="true"/>
        <w:spacing w:before="0" w:after="0"/>
        <w:ind w:firstLine="4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  <w:lang w:eastAsia="ar-SA"/>
        </w:rPr>
        <w:t>В соответствии с п. 7 Инструкции № 191н, б</w:t>
      </w:r>
      <w:r>
        <w:rPr>
          <w:rFonts w:cs="Times New Roman" w:ascii="Times New Roman" w:hAnsi="Times New Roman"/>
          <w:sz w:val="24"/>
          <w:szCs w:val="24"/>
          <w:lang w:eastAsia="ru-RU"/>
        </w:rPr>
        <w:t>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 П</w:t>
      </w:r>
      <w:r>
        <w:rPr>
          <w:rFonts w:cs="Times New Roman" w:ascii="Times New Roman" w:hAnsi="Times New Roman"/>
          <w:sz w:val="24"/>
          <w:szCs w:val="24"/>
          <w:lang w:eastAsia="ar-SA"/>
        </w:rPr>
        <w:t>роверкой Главной книги администрации Ореховского сельского поселения, с формами бюджетной отчетности, нарушений не установлено.</w:t>
      </w:r>
    </w:p>
    <w:p>
      <w:pPr>
        <w:pStyle w:val="Normal"/>
        <w:suppressAutoHyphens w:val="true"/>
        <w:spacing w:before="0" w:after="0"/>
        <w:ind w:firstLine="4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В целях обеспечения достоверности данных бюджетного учета и бюджетной отчетности, администрацией Ореховского сельского поселения на основании ст. 11 Федерального закона от 06.12.2011 № 402-ФЗ «О бухгалтерском учете», п. 7 Инструкции № 191н, перед составлением годовой бюджетной отчетности проведена инвентаризация активов и обязательств, нарушений не установлено.</w:t>
      </w:r>
    </w:p>
    <w:p>
      <w:pPr>
        <w:pStyle w:val="Normal"/>
        <w:suppressAutoHyphens w:val="true"/>
        <w:spacing w:before="0" w:after="0"/>
        <w:ind w:firstLine="448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FF0000"/>
          <w:sz w:val="24"/>
          <w:szCs w:val="24"/>
          <w:lang w:eastAsia="ar-SA"/>
        </w:rPr>
      </w:r>
    </w:p>
    <w:p>
      <w:pPr>
        <w:pStyle w:val="ListParagraph"/>
        <w:spacing w:before="0" w:after="0"/>
        <w:ind w:left="0" w:firstLine="4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>Правовой основой исполнения бюджета 2019 года являлось решение муниципального комитета с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Ореховского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сельского поселения от 28.12.2018 № 98 «О бюджете Ореховского сельского поселения на 2019 год плановый период 2020-2021годы» (с изменениями и дополнениями).</w:t>
      </w:r>
    </w:p>
    <w:p>
      <w:pPr>
        <w:pStyle w:val="Normal"/>
        <w:spacing w:before="0" w:after="120"/>
        <w:ind w:firstLine="4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ходе исполнения бюджета поселения в решение о бюджете 3 раза вносились изменения.</w:t>
      </w:r>
    </w:p>
    <w:p>
      <w:pPr>
        <w:pStyle w:val="BodyText3"/>
        <w:tabs>
          <w:tab w:val="clear" w:pos="708"/>
          <w:tab w:val="left" w:pos="284" w:leader="none"/>
        </w:tabs>
        <w:spacing w:lineRule="auto" w:line="276"/>
        <w:ind w:firstLine="448"/>
        <w:rPr/>
      </w:pPr>
      <w:r>
        <w:rPr/>
        <w:t>Уточненный план по доходам бюджета исполнен на 96,39 процента, кассовое поступление составило 4 437,66 тыс. рублей. В структуре доходной части бюджета в 2019 году наибольший удельный вес имеют безвозмездные поступления, которые составили 79,51 процента (в 2018 году 85,54 процента). Собственные доходы (налоговые и неналоговые) составили 20,49% (в 2018 году соответственно 14,46 процента). Наблюдается увеличение доли собственных доходов и увеличение безвозмездных поступлений   в местный бюджет.</w:t>
      </w:r>
    </w:p>
    <w:p>
      <w:pPr>
        <w:pStyle w:val="BodyText3"/>
        <w:tabs>
          <w:tab w:val="clear" w:pos="708"/>
          <w:tab w:val="left" w:pos="284" w:leader="none"/>
        </w:tabs>
        <w:spacing w:lineRule="auto" w:line="276"/>
        <w:ind w:firstLine="448"/>
        <w:rPr/>
      </w:pPr>
      <w:r>
        <w:rPr/>
        <w:t>Установленный решением о бюджете Ореховского сельского поселения на 2019 год план по налоговым доходам исполнен на 102,87 процента в сумме 872,35 тыс. рублей. Бюджетные назначения по неналоговым доходам исполнены на 102,78% в размере 37,00 тыс. рублей (2018 год –38,45 тыс. рублей).</w:t>
      </w:r>
    </w:p>
    <w:p>
      <w:pPr>
        <w:pStyle w:val="BodyText3"/>
        <w:tabs>
          <w:tab w:val="clear" w:pos="708"/>
          <w:tab w:val="left" w:pos="284" w:leader="none"/>
        </w:tabs>
        <w:spacing w:lineRule="auto" w:line="276"/>
        <w:ind w:firstLine="448"/>
        <w:rPr/>
      </w:pPr>
      <w:r>
        <w:rPr/>
        <w:t xml:space="preserve">Безвозмездные поступления в бюджет Ореховского сельского поселения составили 3528,30 тыс. рублей или 94,85 процента от плановых назначений в сумме 3720,06 тыс. рублей. </w:t>
      </w:r>
    </w:p>
    <w:p>
      <w:pPr>
        <w:pStyle w:val="Normal"/>
        <w:spacing w:before="0" w:after="0"/>
        <w:ind w:firstLine="4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исполнение расходных обязательств бюджета поселения было направлено в 2019 году 4358,77 тыс. рублей. Бюджет исполнен с профицитом в размере 298,39 тыс. рублей. </w:t>
      </w:r>
    </w:p>
    <w:p>
      <w:pPr>
        <w:pStyle w:val="BodyText3"/>
        <w:tabs>
          <w:tab w:val="clear" w:pos="708"/>
          <w:tab w:val="left" w:pos="284" w:leader="none"/>
        </w:tabs>
        <w:spacing w:lineRule="auto" w:line="276"/>
        <w:ind w:firstLine="448"/>
        <w:rPr/>
      </w:pPr>
      <w:r>
        <w:rPr/>
        <w:t>По состоянию на 1 января 2020 года остаток средств на счетах бюджета в органе Федерального казначейства составил 469,20 тыс. рублей.</w:t>
      </w:r>
    </w:p>
    <w:p>
      <w:pPr>
        <w:pStyle w:val="BodyText3"/>
        <w:tabs>
          <w:tab w:val="clear" w:pos="708"/>
          <w:tab w:val="left" w:pos="284" w:leader="none"/>
        </w:tabs>
        <w:spacing w:lineRule="auto" w:line="276"/>
        <w:ind w:firstLine="448"/>
        <w:rPr>
          <w:color w:val="000000"/>
        </w:rPr>
      </w:pPr>
      <w:r>
        <w:rPr/>
        <w:t>Дебиторской задолженности по бюджетной деятельности на 01.01.2019 года составила 147,94 тыс. рублей в том числе просроченная 139,02 тыс. рублей, на конец отчётного периода 152,55тыс. рублей, в том числе просроченная 142,96 тыс. руб.</w:t>
      </w:r>
      <w:r>
        <w:rPr>
          <w:color w:val="000000"/>
        </w:rPr>
        <w:t xml:space="preserve"> Увеличение на - 4,60тыс. руб.</w:t>
      </w:r>
    </w:p>
    <w:p>
      <w:pPr>
        <w:pStyle w:val="BodyText3"/>
        <w:tabs>
          <w:tab w:val="clear" w:pos="708"/>
          <w:tab w:val="left" w:pos="284" w:leader="none"/>
        </w:tabs>
        <w:spacing w:lineRule="auto" w:line="276"/>
        <w:ind w:firstLine="448"/>
        <w:rPr/>
      </w:pPr>
      <w:r>
        <w:rPr/>
        <w:t>На 01.01.2019года сумма кредиторской задолженности по бюджетной деятельности составила 130,34тыс. рублей, на конец отчётного периода 158,15тыс. рублей, в том числе: просроченная 0.00 руб. Увеличение на -27,81тыс. рублей.</w:t>
      </w:r>
    </w:p>
    <w:p>
      <w:pPr>
        <w:pStyle w:val="BodyText3"/>
        <w:spacing w:lineRule="auto" w:line="276"/>
        <w:ind w:firstLine="448"/>
        <w:rPr>
          <w:rFonts w:eastAsia="Courier New"/>
        </w:rPr>
      </w:pPr>
      <w:r>
        <w:rPr/>
        <w:t>Решением о бюджете поселения расходы на исполнение муниципальных программ на 2019 год</w:t>
      </w:r>
      <w:r>
        <w:rPr>
          <w:color w:val="000000"/>
        </w:rPr>
        <w:t xml:space="preserve"> было направлено 2050,15 тыс. руб. или 47,04% от общего объема расходов.</w:t>
      </w:r>
    </w:p>
    <w:p>
      <w:pPr>
        <w:pStyle w:val="Normal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Наибольший удельный вес составляют расходы на реализацию следующих муниципальных программ:</w:t>
      </w:r>
    </w:p>
    <w:p>
      <w:pPr>
        <w:pStyle w:val="Normal"/>
        <w:ind w:firstLine="900"/>
        <w:jc w:val="both"/>
        <w:rPr>
          <w:rFonts w:ascii="Times New Roman" w:hAnsi="Times New Roman" w:eastAsia="Courier New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МП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Развитие и сохранение культуры на территории Ореховского сельского поселения на 2017-2021 годы</w:t>
      </w:r>
      <w:r>
        <w:rPr>
          <w:rFonts w:cs="Times New Roman" w:ascii="Times New Roman" w:hAnsi="Times New Roman"/>
          <w:color w:val="000000"/>
          <w:sz w:val="24"/>
          <w:szCs w:val="24"/>
        </w:rPr>
        <w:t>» 1052,02 тыс. руб. или 56,64%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МП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Благоустройство территории в Ореховском сельском поселении на 2017-2021 годы</w:t>
      </w:r>
      <w:r>
        <w:rPr>
          <w:rFonts w:cs="Times New Roman" w:ascii="Times New Roman" w:hAnsi="Times New Roman"/>
          <w:color w:val="000000"/>
          <w:sz w:val="24"/>
          <w:szCs w:val="24"/>
        </w:rPr>
        <w:t>» - 805,41 тыс. руб. или 43,36% в общих расходах на реализацию муниципальных программ,</w:t>
      </w:r>
    </w:p>
    <w:p>
      <w:pPr>
        <w:pStyle w:val="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результатам проведенной внешней проверки годового отчета об исполнении бюджета Ореховского сельского поселения за 2019 год, Контрольно-счетная палата Дальнереченского муниципального района предлагает администрации Ореховского сельского поселения:</w:t>
      </w:r>
    </w:p>
    <w:p>
      <w:pPr>
        <w:pStyle w:val="BodyText3"/>
        <w:numPr>
          <w:ilvl w:val="0"/>
          <w:numId w:val="1"/>
        </w:numPr>
        <w:spacing w:lineRule="auto" w:line="276"/>
        <w:ind w:left="0" w:firstLine="448"/>
        <w:rPr/>
      </w:pPr>
      <w:r>
        <w:rPr>
          <w:lang w:eastAsia="ar-SA"/>
        </w:rPr>
        <w:t xml:space="preserve">Пояснительную записку (ф.0503160) </w:t>
      </w:r>
      <w:r>
        <w:rPr/>
        <w:t>составлять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</w:t>
      </w:r>
      <w:r>
        <w:rPr>
          <w:lang w:eastAsia="ar-SA"/>
        </w:rPr>
        <w:t xml:space="preserve"> установленной Приказом Министерства финансов Российской Федерации от 28.12.2010 № 191н;</w:t>
      </w:r>
    </w:p>
    <w:p>
      <w:pPr>
        <w:pStyle w:val="BodyText3"/>
        <w:spacing w:lineRule="auto" w:line="276"/>
        <w:ind w:left="448" w:hanging="0"/>
        <w:rPr/>
      </w:pPr>
      <w:r>
        <w:rPr/>
      </w:r>
    </w:p>
    <w:p>
      <w:pPr>
        <w:pStyle w:val="BodyText3"/>
        <w:numPr>
          <w:ilvl w:val="0"/>
          <w:numId w:val="1"/>
        </w:numPr>
        <w:spacing w:lineRule="auto" w:line="276"/>
        <w:ind w:left="0" w:firstLine="448"/>
        <w:rPr/>
      </w:pPr>
      <w:r>
        <w:rPr/>
        <w:t>Обеспечить снижение дебиторской и кредиторской задолженности;</w:t>
      </w:r>
    </w:p>
    <w:p>
      <w:pPr>
        <w:pStyle w:val="BodyText3"/>
        <w:spacing w:lineRule="auto" w:line="276"/>
        <w:ind w:left="448" w:hanging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ind w:left="0" w:firstLine="4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Не допускать </w:t>
      </w:r>
      <w:r>
        <w:rPr>
          <w:rFonts w:cs="Times New Roman" w:ascii="Times New Roman" w:hAnsi="Times New Roman"/>
          <w:sz w:val="24"/>
          <w:szCs w:val="24"/>
        </w:rPr>
        <w:t xml:space="preserve">неэффективных расходов, которые в 2018 год составили 58,11 тыс. рублей (штрафы за нарушение законодательства о налогах и сборах прошлых лет).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before="0" w:after="0"/>
        <w:ind w:left="178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Подписывать формы 0503124,0503127,0503128,0503117 руководителем финансово экономической службы.</w:t>
      </w:r>
    </w:p>
    <w:p>
      <w:pPr>
        <w:pStyle w:val="ListParagraph"/>
        <w:spacing w:before="0" w:after="0"/>
        <w:ind w:left="178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before="0" w:after="0"/>
        <w:ind w:left="178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before="0" w:after="0"/>
        <w:ind w:left="178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before="0" w:after="0"/>
        <w:ind w:left="1789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Главный инспектор Контрольно-счетной                                                         А.А. Богуш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палаты Дальнереченского муниципального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района</w:t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sectPr>
      <w:footerReference w:type="default" r:id="rId2"/>
      <w:type w:val="nextPage"/>
      <w:pgSz w:w="11906" w:h="16838"/>
      <w:pgMar w:left="1701" w:right="680" w:header="0" w:top="539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.2pt;height:13.45pt;mso-wrap-distance-left:0pt;mso-wrap-distance-right:0pt;mso-wrap-distance-top:0pt;mso-wrap-distance-bottom:0pt;margin-top:0.05pt;mso-position-vertical-relative:text;margin-left:465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584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515841"/>
    <w:pPr>
      <w:keepNext w:val="true"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515841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515841"/>
    <w:rPr>
      <w:rFonts w:ascii="Tahoma" w:hAnsi="Tahoma" w:eastAsia="Calibri" w:cs="Tahoma"/>
      <w:sz w:val="16"/>
      <w:szCs w:val="16"/>
    </w:rPr>
  </w:style>
  <w:style w:type="character" w:styleId="3" w:customStyle="1">
    <w:name w:val="Основной текст 3 Знак"/>
    <w:basedOn w:val="DefaultParagraphFont"/>
    <w:link w:val="3"/>
    <w:uiPriority w:val="99"/>
    <w:qFormat/>
    <w:rsid w:val="0051584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515841"/>
    <w:rPr>
      <w:rFonts w:ascii="Calibri" w:hAnsi="Calibri" w:eastAsia="Calibri" w:cs="Calibri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515841"/>
    <w:rPr>
      <w:rFonts w:ascii="Calibri" w:hAnsi="Calibri" w:eastAsia="Calibri" w:cs="Calibri"/>
    </w:rPr>
  </w:style>
  <w:style w:type="character" w:styleId="Pagenumber">
    <w:name w:val="page number"/>
    <w:basedOn w:val="DefaultParagraphFont"/>
    <w:uiPriority w:val="99"/>
    <w:qFormat/>
    <w:rsid w:val="00515841"/>
    <w:rPr/>
  </w:style>
  <w:style w:type="character" w:styleId="Strong">
    <w:name w:val="Strong"/>
    <w:uiPriority w:val="22"/>
    <w:qFormat/>
    <w:rsid w:val="007f52c5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qFormat/>
    <w:rsid w:val="005158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841"/>
    <w:pPr>
      <w:ind w:left="720" w:hanging="0"/>
    </w:pPr>
    <w:rPr/>
  </w:style>
  <w:style w:type="paragraph" w:styleId="BodyText3">
    <w:name w:val="Body Text 3"/>
    <w:basedOn w:val="Normal"/>
    <w:link w:val="30"/>
    <w:uiPriority w:val="99"/>
    <w:qFormat/>
    <w:rsid w:val="0051584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rsid w:val="005158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a"/>
    <w:uiPriority w:val="99"/>
    <w:rsid w:val="005158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basedOn w:val="Normal"/>
    <w:qFormat/>
    <w:rsid w:val="00515841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Normal" w:customStyle="1">
    <w:name w:val="ConsPlusNormal"/>
    <w:qFormat/>
    <w:rsid w:val="00da2d9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paragraph" w:styleId="ConsPlusNonformat" w:customStyle="1">
    <w:name w:val="ConsPlusNonformat"/>
    <w:qFormat/>
    <w:rsid w:val="002f15c6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Default" w:customStyle="1">
    <w:name w:val="Default"/>
    <w:qFormat/>
    <w:rsid w:val="0046203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ru-RU" w:val="ru-RU" w:bidi="ar-SA"/>
    </w:rPr>
  </w:style>
  <w:style w:type="paragraph" w:styleId="12" w:customStyle="1">
    <w:name w:val="Абзац списка1"/>
    <w:basedOn w:val="Normal"/>
    <w:qFormat/>
    <w:rsid w:val="00b22b40"/>
    <w:pPr>
      <w:ind w:left="720" w:hanging="0"/>
    </w:pPr>
    <w:rPr>
      <w:rFonts w:eastAsia="Times New Roman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1584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AC9C-8EE4-4F49-A7AB-F0AEBA72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LibreOffice/7.0.3.1$Windows_X86_64 LibreOffice_project/d7547858d014d4cf69878db179d326fc3483e082</Application>
  <Pages>9</Pages>
  <Words>3189</Words>
  <Characters>21791</Characters>
  <CharactersWithSpaces>25419</CharactersWithSpaces>
  <Paragraphs>272</Paragraphs>
  <Company>duma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2020-04-14T22:50:00Z</dcterms:created>
  <dc:creator>duma</dc:creator>
  <dc:description/>
  <dc:language>ru-RU</dc:language>
  <cp:lastModifiedBy>Urist</cp:lastModifiedBy>
  <cp:lastPrinted>2019-04-05T00:43:00Z</cp:lastPrinted>
  <dcterms:modified xsi:type="dcterms:W3CDTF">2020-04-15T01:23:00Z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duma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