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overflowPunct w:val="true"/>
        <w:spacing w:lineRule="auto" w:line="240" w:before="0" w:after="0"/>
        <w:ind w:right="-6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ЗАКЛЮЧЕНИЕ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hanging="0"/>
        <w:jc w:val="center"/>
        <w:outlineLvl w:val="1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по результатам внешней проверки годового отчёта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hanging="0"/>
        <w:jc w:val="center"/>
        <w:outlineLvl w:val="1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об исполнении бюджета Малиновского сельского поселения за 2019 год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hanging="0"/>
        <w:outlineLvl w:val="1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hanging="0"/>
        <w:outlineLvl w:val="1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Основания проверки: 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ст.157</w:t>
      </w:r>
      <w:r>
        <w:rPr>
          <w:rFonts w:cs="Times New Roman" w:ascii="Times New Roman" w:hAnsi="Times New Roman"/>
          <w:sz w:val="24"/>
          <w:szCs w:val="24"/>
          <w:lang w:eastAsia="ru-RU"/>
        </w:rPr>
        <w:t>, ст.264.4 Бюджетного кодекса Российской Федерации,</w:t>
      </w:r>
      <w:r>
        <w:rPr>
          <w:rFonts w:cs="Times New Roman" w:ascii="Times New Roman" w:hAnsi="Times New Roman"/>
          <w:sz w:val="24"/>
          <w:szCs w:val="24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ст.6 Положения о Контрольно-счётной палате Дальнереченского муниципального района, Соглашение от 01 января 2020 года № 1 о передаче Контрольно-счётной палате Дальнереченского муниципального района части полномочий контрольно-счётного органа Малиновского сельского поселения по осуществлению внешнего муниципального финансового контроля, плана работы </w:t>
      </w:r>
      <w:r>
        <w:rPr>
          <w:rFonts w:cs="Times New Roman" w:ascii="Times New Roman" w:hAnsi="Times New Roman"/>
          <w:sz w:val="24"/>
          <w:szCs w:val="24"/>
        </w:rPr>
        <w:t>Контрольно-счетной палаты Дальнереченского муниципального района на  2020 года</w:t>
      </w:r>
      <w:r>
        <w:rPr>
          <w:rFonts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Цель проверки: </w:t>
      </w:r>
      <w:r>
        <w:rPr>
          <w:rFonts w:cs="Times New Roman" w:ascii="Times New Roman" w:hAnsi="Times New Roman"/>
          <w:sz w:val="24"/>
          <w:szCs w:val="24"/>
          <w:lang w:eastAsia="ru-RU"/>
        </w:rPr>
        <w:t>соответствие годового отчёта муниципального образования требованиям бюджетного законодательства и Инструкции «О порядке составления и предоставления годовой, квартальной и месячной отчётности об исполнении бюджетов бюджетной системы Российской Федерации», утверждённой приказом Министерства финансов РФ от 28.12.2010 г. № 191н,</w:t>
      </w:r>
      <w:r>
        <w:rPr>
          <w:rFonts w:cs="Times New Roman" w:ascii="Times New Roman" w:hAnsi="Times New Roman"/>
          <w:sz w:val="24"/>
          <w:szCs w:val="24"/>
        </w:rPr>
        <w:t xml:space="preserve"> положениям нормативных правовых актов по бюджетному процессу, а также установление полноты и достоверности отчета об исполнении бюджета Малиновского сельского поселения  за 2019 год.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Задачи проверки: </w:t>
      </w:r>
      <w:r>
        <w:rPr>
          <w:rFonts w:cs="Times New Roman" w:ascii="Times New Roman" w:hAnsi="Times New Roman"/>
          <w:sz w:val="24"/>
          <w:szCs w:val="24"/>
          <w:lang w:eastAsia="ru-RU"/>
        </w:rPr>
        <w:t>оценка достоверности и полноты отчёта об исполнении бюджета Малиновского сельского поселения за 2019 год, для реализации данной цели в ходе проверки решались следующие задачи: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анализ исполнения бюджета поселения по доходам, в том числе анализ   доходов в бюджет поселения;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анализ исполнения бюджета по расходам, в том числе анализ плановых показателей по разделам классификации расходов бюджета;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Объект проверки: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>администрация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>Малиновского сельского поселения.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Критерии проверки: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проверка Отчёта об исполнении бюджета осуществлялась по следующим критериям: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соответствие отчётности главного администратора бюджетных средств и Отчёта об исполнении бюджета требованиям Бюджетного кодекса Российской Федерации (далее БК РФ), федерального и краевого законодательства, правовым актам Малиновского сельского поселения;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правильность формирования отчётности главным администратором бюджетных средств, своевременность представления отчётности;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соответствие показателей исполнения бюджета утверждённым бюджетным назначениям.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Начало проверки: 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07</w:t>
      </w:r>
      <w:r>
        <w:rPr>
          <w:rFonts w:cs="Times New Roman" w:ascii="Times New Roman" w:hAnsi="Times New Roman"/>
          <w:sz w:val="24"/>
          <w:szCs w:val="24"/>
          <w:lang w:eastAsia="ru-RU"/>
        </w:rPr>
        <w:t>.04.2020 г.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Окончание проверки: 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15.04.</w:t>
      </w:r>
      <w:r>
        <w:rPr>
          <w:rFonts w:cs="Times New Roman" w:ascii="Times New Roman" w:hAnsi="Times New Roman"/>
          <w:sz w:val="24"/>
          <w:szCs w:val="24"/>
          <w:lang w:eastAsia="ru-RU"/>
        </w:rPr>
        <w:t>2020 г.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Заключение на годовой отчёт об исполнении бюджета Малиновского сельского поселения за 2019 год подготовлено в соответствии со ст.264.4 БК РФ на основе годовой бюджетной отчётности, составленной администрацией Малиновского сельского поселения.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Проведённая, в соответствии с требованиями ст.264.4 БК РФ, внешняя проверка бюджетной отчётности показала следующее.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Представленная годовая бюджетная отчётность Малиновского сельского поселения за 2019 год </w:t>
      </w:r>
      <w:r>
        <w:rPr>
          <w:rFonts w:cs="Times New Roman" w:ascii="Times New Roman" w:hAnsi="Times New Roman"/>
          <w:sz w:val="24"/>
          <w:szCs w:val="24"/>
          <w:lang w:eastAsia="ar-SA"/>
        </w:rPr>
        <w:t>соответствует требованиям п.11.1 Инструкции, утверждённой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содержит следующие формы</w:t>
      </w:r>
      <w:r>
        <w:rPr>
          <w:rFonts w:cs="Times New Roman" w:ascii="Times New Roman" w:hAnsi="Times New Roman"/>
          <w:sz w:val="24"/>
          <w:szCs w:val="24"/>
          <w:lang w:eastAsia="ru-RU"/>
        </w:rPr>
        <w:t>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hanging="0"/>
        <w:jc w:val="both"/>
        <w:outlineLvl w:val="1"/>
        <w:rPr>
          <w:rFonts w:ascii="Times New Roman" w:hAnsi="Times New Roman" w:cs="Times New Roman"/>
          <w:i/>
          <w:i/>
          <w:iCs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 xml:space="preserve">          </w:t>
      </w: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>- Справку по заключению счетов бюджетного учёта отчётного финансового года (ф.0503110);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 xml:space="preserve">-  </w:t>
      </w: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Отчет об исполнении бюджета (ф.0503117);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- </w:t>
      </w: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Баланс исполнения бюджета (ф.0503130);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Отчет о финансовых результатах деятельности (ф.0503121);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Отчет о движении денежных средств (ф.0503123);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Справка по консолидируемым расчетам (доходы) (ф.0503125);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Отчет о принятых бюджетных обязательствах (ф.0503128);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Пояснительная записка (ф.0503160);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Сведения о количестве подведомственных учреждений (ф.0503161);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Сведения об исполнении бюджета (доходы) (ф.0503164);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Сведения о движении нефинансовых активов (ф.0503168);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 xml:space="preserve">-Сведения о дебиторской и кредиторской задолженности (ф.0503169); 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-Сведения об изменении остатков валюты баланса (бюджетная деятельность) (ф.0503173);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Проведённая в соответствии с требованиями ст. 264.4 БК РФ и Инструкции 191н внешняя проверка бюджетной отчётности показала следующее. 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Данные о нефинансовых и финансовых активах, обязательствах муниципального образования Малиновского сельского поселения и финансового результата, характеризующего чистую стоимость активов и её увеличение за 2019 год, отражены в балансе исполнения бюджета (ф.0503130). Согласно данным Баланса активы Малиновского сельского поселения в денежном выражении за 2019 год увеличились на 53807,70 тыс. рублей и по состоянию на 01.01.2020 года составили 118 292,09 тыс. рублей.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Остаточная стоимость нефинансовых активов на 01.01.2020 года по сравнению с данными на начало 2019 года увеличились на 52579,56 тыс. рублей и составила 116 374,09 тыс. рублей.  Основную долю в общем объёме нефинансовых активов (100,0%) составляют нефинансовые активы имущества казны, остаточной стоимостью 116374,09 тыс. рублей.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Балансовая стоимость основных средств на 01.01.2020 г. по сравнению с предыдущим периодом увеличилась на 1345,10 тыс. рублей и составила 7695,89 тыс. рублей. Материальные запасов на 01.01.2020 увеличились на 99,33 тыс. рублей года и составили 372,86 тыс. рублей.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Общий объём финансовых активов муниципального образования уменьшился за 2019 год на 924,78 тыс. рублей и по состоянию на 01.01.2020 г. составил 22 791,62 тыс. рублей. 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Представленная Пояснительная записка (ф.0503160) по форме и содержанию соответствует требованиям, установленным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</w:rPr>
        <w:t>Годовой отчёт «Об исполнении бюджета Малиновского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 сельского поселения за 2019 год» (далее Отчёт), годовая бюджетная отчётность главного распорядителя бюджетных средств за 2019 год представлены администрацией Малиновского сельского поселения для подготовки заключения в срок, установленный БК РФ.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 сформирован в соответствии с приказом Министерства финансов Российской Федерации от 28.12.2010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(в ред. от 16.11.2016).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Пакет документов и материалов, предоставляемых к Отчету в обязательном порядке, представлен в Контрольно-счетную палату Дальнереченского муниципального района в полном соответствии с требованиями ст. 264.1 Бюджетного кодекса РФ.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В соответствии с п.7 Инструкции о порядке составления и предоставления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г. №191н (далее Инструкция 191н), показатели бюджетной отчётности Малиновского сельского поселения соответствуют данным Главной книги. 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В целях обеспечения достоверности данных бюджетного учёта и бюджетной отчётности, администрацией Малиновского сельского поселения на основании ст.11 Федерального закона от 06.12.2011 №402-ФЗ «О бухгалтерском учёте», п.7 Инструкции 191н перед составлением годовой бюджетной отчетности проведена инвентаризация активов и обязательств за 2019 год в установленном порядке. Нарушений не установлено.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eastAsia="ar-SA"/>
        </w:rPr>
        <w:t>Организация бюджетного процесса в Малиновском сельском поселении в 2019 году.</w:t>
      </w:r>
    </w:p>
    <w:p>
      <w:pPr>
        <w:pStyle w:val="Normal"/>
        <w:suppressAutoHyphens w:val="true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eastAsia="ar-SA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В 2019 году бюджетный процесс в Малиновском сельском поселении осуществлялся в соответствии с Бюджетным кодексом Российской Федерации и соответствующими нормативно-правовыми актами. Основные вопросы организации бюджетного процесса в поселении закреплены в Уставе муниципального образования Малиновского сельского поселение и положении о бюджетном устройстве, бюджетном процессе и межбюджетных отношениях в Малиновском сельском поселении (далее положение о бюджетном процессе), утвержденном решением муниципального комитета от 21.12.2018 года № 110 «О Малиновского сельского поселения на  2019год и плановый период 2020 и 2021 годов» (в редакции решения муниципального комитета Малиновского сельского поселения от 09.04.2019 № 119, от 26.06.2019 № 127, от 18.12.2019 №150).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о бюджетном процессе, бюджет Малиновского сельского поселения на 2019 год принят и опубликован до начала финансового года. Бюджет поселения утвержден на заседании муниципального комитета Малиновского сельского поселения от 21.12.2018года № 110 по доходам в сумме 6719,80 тыс. руб., по расходам 6719,80 тыс. руб. Сводная бюджетная роспись составлена и утверждена в сроки, установленные ст.217 Бюджетного кодекса РФ и положением о бюджетном процессе в сельском поселении. В течение года в решение о бюджете на 2019 год изменения вносились три раза. В окончательной редакции бюджет поселения на 2019 год утвержден решением муниципального комитета Малиновского сельского поселения 18 декабря 2019г.№ 150 по доходам 11298,60 тыс. руб. и по расходам в сумме 10820,80 тыс. руб., с профицитом 480,80 тыс. руб. Фактически бюджет Малиновского сельского поселения исполнен по доходам в размере 11139,83 тыс. руб., по расходам в размере 10601,07 тыс. руб., с профицитом в размере 538,76 тыс. руб.</w:t>
      </w:r>
    </w:p>
    <w:p>
      <w:pPr>
        <w:pStyle w:val="Normal"/>
        <w:spacing w:lineRule="auto" w:line="36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Анализ исполнения основных параметров бюджета поселения</w:t>
      </w:r>
    </w:p>
    <w:p>
      <w:pPr>
        <w:pStyle w:val="Normal"/>
        <w:spacing w:lineRule="auto" w:line="36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за 2019 год.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Окончательно бюджет Малиновского сельского поселения утвержден по доходам в размере 11298,60 тыс. руб. и по расходам в сумме 10820,80 тыс. руб., с профицитом 480,80 тыс. руб. Изменения отражены в уточненной сводной бюджетной росписи. Всего за 2019 год согласно отчета об исполнении бюджета в доходы бюджета Малиновского сельского поселения поступило 11139,83 тыс. руб. или 98,60% от уточненного плана. Расходы бюджета поселения исполнены на 10601,07 тыс. руб. или на 98,00 % от уточненных бюджетных ассигнований. Бюджет поселения исполнен с профицитом 538,76 тыс. руб. Утверждение и доведение уведомлений о бюджетных ассигнованиях осуществлялось в соответствии со ст.217 пункт 5 Бюджетного кодекса РФ.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eastAsia="ar-SA"/>
        </w:rPr>
        <w:t>Анализ исполнения доходной части бюджета поселения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Первоначальные плановые назначения по доходам бюджета в течение года изменялись решениями муниципального комитета Малиновского сельского поселения, увеличившись на 4581,80 тыс. руб., или на 40,55 % и составили 11298,54 тыс. руб.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Согласно отчету об исполнении бюджета в доходы бюджета Малиновского сельского поселения поступило 11139,83 тыс. руб., или 98,60% к уточненному плану, и на 5038,00 тыс. руб. больше, чем в предыдущем году, в том числе: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-налоговые доходы- 1379 тыс. руб., или 104,55%, что на 60,00 тыс. руб. больше 2018 года;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-неналоговые доходы- 1107,00 тыс. руб., или 310,08%, что на 750,00 тыс. руб. больше 2018 года;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-безвозмездные поступления-8654,00 тыс. руб., или 195,53 %, что на 4228,00 тыс. руб. больше 2018 года;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Удельный вес налоговых доходов в общем объеме доходов 2019 года составил 12,38%, неналоговых доходов-9,94%, безвозмездных поступлений-77,68%, при этом аналогичные показатели в 2018 году составили 21,62%, 5,85%, 72,53% соответственно.</w:t>
      </w:r>
    </w:p>
    <w:p>
      <w:pPr>
        <w:pStyle w:val="Normal"/>
        <w:spacing w:lineRule="auto" w:line="360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Налог на доходы физических лиц</w:t>
      </w:r>
      <w:r>
        <w:rPr>
          <w:sz w:val="24"/>
          <w:szCs w:val="24"/>
        </w:rPr>
        <w:t xml:space="preserve"> является налогом, формирующим доходную часть бюджета поселения, который составляет 9,79 % всех его налоговых доходов. В течение года поступило 134,50 тыс. руб., или 107,6 % к уточненному плану. Перевыполнение за счет увеличения налогооблагаемой базы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Основой поступления явился земельный налог </w:t>
      </w:r>
      <w:r>
        <w:rPr>
          <w:sz w:val="24"/>
          <w:szCs w:val="24"/>
        </w:rPr>
        <w:t>за 2019 год поступил в сумме 610,0 тыс. руб., или 100,4% к уточненному плану, что составляет 109,32% от первоначального плана. Увеличение поступлений связано с тем, что изменилась кадастровая стоимость земельных участков в сторону увеличения (Постановление департамента земельных и имущественных отношений Приморского края от 07.12.2015г № 4-п), в результате чего увеличилось начисление земельного налога индивидуальных предпринимателям.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Налог на имущество физических лиц</w:t>
      </w:r>
      <w:r>
        <w:rPr>
          <w:sz w:val="24"/>
          <w:szCs w:val="24"/>
        </w:rPr>
        <w:t xml:space="preserve"> за 2019 год поступил в сумме 570,70 тыс. руб., или 107,7% к уточненному плану, к значению 2018 года это составило 173,56%. Причиной перевыполнения является переход к исчислению налога на имущество физических лиц исходя из кадастровой стоимости ряда объектов, находящихся на территории поселения (Распоряжение департамента земельных и имущественных отношений Приморского края от 20.12.2017г № 363-ри), выявление не корректных данных в сведениях Росреестра, а также выявление недвижимости, ранее не поставленной на кадастровый учет. </w:t>
      </w:r>
    </w:p>
    <w:p>
      <w:pPr>
        <w:pStyle w:val="Normal"/>
        <w:spacing w:lineRule="auto" w:line="360"/>
        <w:jc w:val="both"/>
        <w:rPr>
          <w:i/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Поступления по госпошлине</w:t>
      </w:r>
      <w:r>
        <w:rPr>
          <w:sz w:val="24"/>
          <w:szCs w:val="24"/>
        </w:rPr>
        <w:t xml:space="preserve"> за 2019 год составили 34,40 тыс. руб., или 101,20%к уточненному плану и к значению 2018 года составило 170,00%. Госпошлина поступила за фактические нотариальные действия.</w:t>
      </w:r>
      <w:r>
        <w:rPr>
          <w:i/>
          <w:sz w:val="24"/>
          <w:szCs w:val="24"/>
          <w:u w:val="single"/>
        </w:rPr>
        <w:t xml:space="preserve">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Налог на совокупный доход – поступление по единому сельскохозяйственному налогу </w:t>
      </w:r>
      <w:r>
        <w:rPr>
          <w:sz w:val="24"/>
          <w:szCs w:val="24"/>
        </w:rPr>
        <w:t>за 2019 год поступил в сумме 29,3 тыс. руб., или 100,00% к уточненному плану.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Сумма неналоговых доходов</w:t>
      </w:r>
      <w:r>
        <w:rPr>
          <w:sz w:val="24"/>
          <w:szCs w:val="24"/>
        </w:rPr>
        <w:t xml:space="preserve"> в 2019 году составила 1107,2 тыс. руб., или 100,70% к уточненному плану, в общей доле доходов неналоговые доходы составляют 9,94 %, в доле собственных доходов 44,54 %.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Наблюдается увеличение аналогичного показателя прошлого года на 750,00 тыс. рублей или на 310,10% в связи с тем, что в 2019году возобновились поступления по арендой плате земельного участка с СПК «Коопхоз Русское поле». </w:t>
      </w:r>
    </w:p>
    <w:p>
      <w:pPr>
        <w:pStyle w:val="Normal"/>
        <w:spacing w:lineRule="auto" w:line="360"/>
        <w:jc w:val="both"/>
        <w:rPr>
          <w:i/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Доходы от использования имущества находящегося в государственной и муниципальной собственности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2019 год составила 1039,8 тыс. руб., или 100,00% к уточненному плану. </w:t>
      </w:r>
      <w:r>
        <w:rPr>
          <w:i/>
          <w:sz w:val="24"/>
          <w:szCs w:val="24"/>
          <w:u w:val="single"/>
        </w:rPr>
        <w:t xml:space="preserve">Прочие доходы от оказания платных услуг компенсации затрат государства </w:t>
      </w:r>
      <w:r>
        <w:rPr>
          <w:sz w:val="24"/>
          <w:szCs w:val="24"/>
        </w:rPr>
        <w:t>составили в 2019 году 38,00 тыс. руб., или к уточненному плану100,00%.</w:t>
      </w:r>
    </w:p>
    <w:p>
      <w:pPr>
        <w:pStyle w:val="Normal"/>
        <w:spacing w:lineRule="auto" w:line="360"/>
        <w:jc w:val="both"/>
        <w:rPr>
          <w:i/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Штрафы, санкции, возмещение ущерба </w:t>
      </w:r>
      <w:r>
        <w:rPr>
          <w:sz w:val="24"/>
          <w:szCs w:val="24"/>
        </w:rPr>
        <w:t>составили в 2019 году 29,40 тыс. руб., или к уточненному плану 111,4%.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ab/>
        <w:t xml:space="preserve"> Третья часть поступлений в бюджет приходится на безвозмездные перечисления в 2019 году они составили 8653,90 тыс. руб., или 97,50% к уточненному плану и к значению прошлого года 195,53%.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Исполнение бюджета поселения в 2019 году по расходным обязательствам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Расходная часть бюджета исполнена на 98,00% к уточненным плановым назначениям или в сумме 10601,1 тыс. руб. Динамика расходных обязательств бюджета отражена в таблице №1.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Таблица №1</w:t>
      </w:r>
    </w:p>
    <w:p>
      <w:pPr>
        <w:pStyle w:val="Normal"/>
        <w:spacing w:lineRule="auto" w:line="360"/>
        <w:jc w:val="right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тыс. рублей</w:t>
      </w:r>
    </w:p>
    <w:tbl>
      <w:tblPr>
        <w:tblW w:w="95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71"/>
        <w:gridCol w:w="1195"/>
        <w:gridCol w:w="1204"/>
        <w:gridCol w:w="1203"/>
        <w:gridCol w:w="963"/>
        <w:gridCol w:w="858"/>
        <w:gridCol w:w="944"/>
        <w:gridCol w:w="975"/>
      </w:tblGrid>
      <w:tr>
        <w:trPr>
          <w:trHeight w:val="390" w:hRule="atLeast"/>
        </w:trPr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расходов</w:t>
            </w:r>
          </w:p>
          <w:p>
            <w:pPr>
              <w:pStyle w:val="Normal"/>
              <w:widowControl w:val="false"/>
              <w:spacing w:lineRule="auto" w:line="360" w:before="0" w:after="200"/>
              <w:rPr/>
            </w:pPr>
            <w:r>
              <w:rPr/>
            </w:r>
          </w:p>
        </w:tc>
        <w:tc>
          <w:tcPr>
            <w:tcW w:w="5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/>
              <w:t xml:space="preserve">                        </w:t>
            </w:r>
            <w:r>
              <w:rPr>
                <w:sz w:val="20"/>
                <w:szCs w:val="20"/>
              </w:rPr>
              <w:t>Исполнение 2019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 в %</w:t>
            </w:r>
          </w:p>
        </w:tc>
      </w:tr>
      <w:tr>
        <w:trPr>
          <w:trHeight w:val="435" w:hRule="atLeast"/>
        </w:trPr>
        <w:tc>
          <w:tcPr>
            <w:tcW w:w="21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 утвержд.</w:t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 уточнен.</w:t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фактически исполнено тыс. руб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плану на год утвержд. в %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плану на год уточнен.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 .план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исполнено</w:t>
            </w:r>
          </w:p>
        </w:tc>
      </w:tr>
      <w:tr>
        <w:trPr>
          <w:trHeight w:val="43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3702,90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3587,20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3587,20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96,88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33,15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33,84</w:t>
            </w:r>
          </w:p>
        </w:tc>
      </w:tr>
      <w:tr>
        <w:trPr>
          <w:trHeight w:val="43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 (ВУС)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277,70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277,70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277,70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2,62</w:t>
            </w:r>
          </w:p>
        </w:tc>
      </w:tr>
      <w:tr>
        <w:trPr>
          <w:trHeight w:val="43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1514,10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1514,10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306,44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14,28</w:t>
            </w:r>
          </w:p>
        </w:tc>
      </w:tr>
      <w:tr>
        <w:trPr>
          <w:trHeight w:val="43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</w:tr>
      <w:tr>
        <w:trPr>
          <w:trHeight w:val="43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814,40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1133,00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914,70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80,73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8,63</w:t>
            </w:r>
          </w:p>
        </w:tc>
      </w:tr>
      <w:tr>
        <w:trPr>
          <w:trHeight w:val="43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</w:t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Кинематография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1292,70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4170,80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4169,40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322,53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39,33</w:t>
            </w:r>
          </w:p>
        </w:tc>
      </w:tr>
      <w:tr>
        <w:trPr>
          <w:trHeight w:val="43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  <w:t xml:space="preserve">ИТОГО </w:t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</w:rPr>
            </w:pPr>
            <w:r>
              <w:rPr>
                <w:b/>
              </w:rPr>
              <w:t>Расходов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</w:rPr>
            </w:pPr>
            <w:r>
              <w:rPr>
                <w:b/>
              </w:rPr>
              <w:t>6719,80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</w:rPr>
            </w:pPr>
            <w:r>
              <w:rPr>
                <w:b/>
              </w:rPr>
              <w:t>10820,80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</w:rPr>
            </w:pPr>
            <w:r>
              <w:rPr>
                <w:b/>
              </w:rPr>
              <w:t>10601,10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</w:rPr>
            </w:pPr>
            <w:r>
              <w:rPr>
                <w:b/>
              </w:rPr>
              <w:t>157,76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</w:rPr>
            </w:pPr>
            <w:r>
              <w:rPr>
                <w:b/>
              </w:rPr>
              <w:t>97,97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</w:rPr>
            </w:pPr>
            <w:r>
              <w:rPr>
                <w:b/>
              </w:rPr>
              <w:t>100</w:t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Наибольший удельный вес в общей структуре расходов бюджета Малиновского сельского поселения занимают общегосударственные расходы 33,84%, Культура, Кинематография 39,33%, Жилищно-коммунальное хозяйство 14,28%. Исполнение бюджета по расходам за 2019 год составило 100,00%, по четырем статьям расходов, что подтверждается данными таблицы №2.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b/>
        </w:rPr>
        <w:t>Таблица№2</w:t>
      </w:r>
    </w:p>
    <w:p>
      <w:pPr>
        <w:pStyle w:val="Normal"/>
        <w:spacing w:lineRule="auto" w:line="360"/>
        <w:jc w:val="right"/>
        <w:rPr>
          <w:b/>
          <w:b/>
        </w:rPr>
      </w:pPr>
      <w:r>
        <w:rPr>
          <w:b/>
        </w:rPr>
        <w:t>тыс. рублей</w:t>
      </w:r>
    </w:p>
    <w:tbl>
      <w:tblPr>
        <w:tblW w:w="94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71"/>
        <w:gridCol w:w="1066"/>
        <w:gridCol w:w="1255"/>
        <w:gridCol w:w="1079"/>
        <w:gridCol w:w="1222"/>
        <w:gridCol w:w="765"/>
        <w:gridCol w:w="1893"/>
      </w:tblGrid>
      <w:tr>
        <w:trPr>
          <w:trHeight w:val="255" w:hRule="atLeast"/>
        </w:trPr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6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>2018 год</w:t>
            </w:r>
          </w:p>
        </w:tc>
      </w:tr>
      <w:tr>
        <w:trPr>
          <w:trHeight w:val="315" w:hRule="atLeast"/>
        </w:trPr>
        <w:tc>
          <w:tcPr>
            <w:tcW w:w="21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</w:t>
            </w:r>
          </w:p>
        </w:tc>
        <w:tc>
          <w:tcPr>
            <w:tcW w:w="4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исполнено</w:t>
            </w:r>
          </w:p>
        </w:tc>
      </w:tr>
      <w:tr>
        <w:trPr>
          <w:trHeight w:val="225" w:hRule="atLeast"/>
        </w:trPr>
        <w:tc>
          <w:tcPr>
            <w:tcW w:w="21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в структуре расходов</w:t>
            </w:r>
          </w:p>
        </w:tc>
      </w:tr>
      <w:tr>
        <w:trPr>
          <w:trHeight w:val="22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3587,20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3587,20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33,84</w:t>
            </w:r>
          </w:p>
        </w:tc>
      </w:tr>
      <w:tr>
        <w:trPr>
          <w:trHeight w:val="22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 (ВУС)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277,70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277,70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2,62</w:t>
            </w:r>
          </w:p>
        </w:tc>
      </w:tr>
      <w:tr>
        <w:trPr>
          <w:trHeight w:val="22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1514,10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1514,10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14,28</w:t>
            </w:r>
          </w:p>
        </w:tc>
      </w:tr>
      <w:tr>
        <w:trPr>
          <w:trHeight w:val="22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</w:tr>
      <w:tr>
        <w:trPr>
          <w:trHeight w:val="22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1133,00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914,70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-281,30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80,73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8,63</w:t>
            </w:r>
          </w:p>
        </w:tc>
      </w:tr>
      <w:tr>
        <w:trPr>
          <w:trHeight w:val="22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</w:t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Кинематография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4170,80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4169,40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-1,40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99,97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39,33</w:t>
            </w:r>
          </w:p>
        </w:tc>
      </w:tr>
      <w:tr>
        <w:trPr>
          <w:trHeight w:val="22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</w:rPr>
            </w:pPr>
            <w:r>
              <w:rPr>
                <w:b/>
              </w:rPr>
              <w:t>10820,80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</w:rPr>
            </w:pPr>
            <w:r>
              <w:rPr>
                <w:b/>
              </w:rPr>
              <w:t>10601,10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-219,70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</w:rPr>
            </w:pPr>
            <w:r>
              <w:rPr>
                <w:b/>
              </w:rPr>
              <w:t>100</w:t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Общая сумма финансирования за 2019 год составила 10601,10 тыс. руб., что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составляет 98,00 % исполнения бюджета. </w:t>
      </w:r>
    </w:p>
    <w:p>
      <w:pPr>
        <w:pStyle w:val="Normal"/>
        <w:spacing w:lineRule="auto" w:line="360"/>
        <w:rPr>
          <w:rFonts w:eastAsia="Courier New"/>
          <w:sz w:val="24"/>
          <w:szCs w:val="24"/>
        </w:rPr>
      </w:pPr>
      <w:r>
        <w:rPr>
          <w:color w:val="000000"/>
          <w:sz w:val="24"/>
          <w:szCs w:val="24"/>
        </w:rPr>
        <w:t>В течение 2019 года на реализацию муниципальных программ было направлено 5737,4 тыс. руб. или 54,12% от общего объема расходов.</w:t>
      </w:r>
    </w:p>
    <w:p>
      <w:pPr>
        <w:pStyle w:val="Normal"/>
        <w:ind w:firstLine="900"/>
        <w:jc w:val="both"/>
        <w:rPr>
          <w:rFonts w:eastAsia="Courier New"/>
          <w:sz w:val="24"/>
          <w:szCs w:val="24"/>
        </w:rPr>
      </w:pPr>
      <w:r>
        <w:rPr>
          <w:color w:val="000000"/>
          <w:sz w:val="24"/>
          <w:szCs w:val="24"/>
        </w:rPr>
        <w:t>Наибольший удельный вес составляют расходы на реализацию следующих муниципальных программ:</w:t>
      </w:r>
    </w:p>
    <w:p>
      <w:pPr>
        <w:pStyle w:val="Normal"/>
        <w:ind w:firstLine="900"/>
        <w:jc w:val="both"/>
        <w:rPr>
          <w:rFonts w:eastAsia="Courier New"/>
          <w:sz w:val="24"/>
          <w:szCs w:val="24"/>
        </w:rPr>
      </w:pPr>
      <w:r>
        <w:rPr>
          <w:color w:val="000000"/>
          <w:sz w:val="24"/>
          <w:szCs w:val="24"/>
        </w:rPr>
        <w:t>- МП «</w:t>
      </w:r>
      <w:r>
        <w:rPr>
          <w:b/>
          <w:color w:val="000000"/>
          <w:sz w:val="24"/>
          <w:szCs w:val="24"/>
        </w:rPr>
        <w:t>Развитие и сохранение культуры на территории Малиновского сельского поселения на 2017-2019 годы</w:t>
      </w:r>
      <w:r>
        <w:rPr>
          <w:color w:val="000000"/>
          <w:sz w:val="24"/>
          <w:szCs w:val="24"/>
        </w:rPr>
        <w:t>» 4169,4 тыс. руб. или 72,67% в общих расходах на реализацию муниципальных программ,</w:t>
      </w:r>
    </w:p>
    <w:p>
      <w:pPr>
        <w:pStyle w:val="Normal"/>
        <w:ind w:firstLine="900"/>
        <w:jc w:val="both"/>
        <w:rPr>
          <w:rFonts w:eastAsia="Courier New"/>
          <w:sz w:val="24"/>
          <w:szCs w:val="24"/>
        </w:rPr>
      </w:pPr>
      <w:r>
        <w:rPr>
          <w:color w:val="000000"/>
          <w:sz w:val="24"/>
          <w:szCs w:val="24"/>
        </w:rPr>
        <w:t>- МП «</w:t>
      </w:r>
      <w:r>
        <w:rPr>
          <w:b/>
          <w:color w:val="000000"/>
          <w:sz w:val="24"/>
          <w:szCs w:val="24"/>
        </w:rPr>
        <w:t>Формирование современной городской среды в Малиновском сельском поселении на 2018-2022 годы</w:t>
      </w:r>
      <w:r>
        <w:rPr>
          <w:color w:val="000000"/>
          <w:sz w:val="24"/>
          <w:szCs w:val="24"/>
        </w:rPr>
        <w:t>» - 1290,0 тыс. руб. или 22,48% в общих расходах на реализацию муниципальных программ,</w:t>
      </w:r>
    </w:p>
    <w:p>
      <w:pPr>
        <w:pStyle w:val="Normal"/>
        <w:ind w:firstLine="900"/>
        <w:jc w:val="both"/>
        <w:rPr>
          <w:rFonts w:eastAsia="Courier New"/>
          <w:sz w:val="24"/>
          <w:szCs w:val="24"/>
        </w:rPr>
      </w:pPr>
      <w:r>
        <w:rPr>
          <w:color w:val="000000"/>
          <w:sz w:val="24"/>
          <w:szCs w:val="24"/>
        </w:rPr>
        <w:t>- МП «</w:t>
      </w:r>
      <w:r>
        <w:rPr>
          <w:b/>
          <w:color w:val="000000"/>
          <w:sz w:val="24"/>
          <w:szCs w:val="24"/>
        </w:rPr>
        <w:t>Благоустройство территории Малиновского сельского поселения на 2017-2019 годы</w:t>
      </w:r>
      <w:r>
        <w:rPr>
          <w:color w:val="000000"/>
          <w:sz w:val="24"/>
          <w:szCs w:val="24"/>
        </w:rPr>
        <w:t>» - 140,0 тыс. руб. или 2,44% в общих расходах на реализацию муниципальных программ,</w:t>
      </w:r>
    </w:p>
    <w:p>
      <w:pPr>
        <w:pStyle w:val="Normal"/>
        <w:ind w:firstLine="900"/>
        <w:jc w:val="both"/>
        <w:rPr>
          <w:rFonts w:eastAsia="Courier New"/>
          <w:sz w:val="24"/>
          <w:szCs w:val="24"/>
        </w:rPr>
      </w:pPr>
      <w:r>
        <w:rPr>
          <w:color w:val="000000"/>
          <w:sz w:val="24"/>
          <w:szCs w:val="24"/>
        </w:rPr>
        <w:t>- МП «</w:t>
      </w:r>
      <w:r>
        <w:rPr>
          <w:b/>
          <w:color w:val="000000"/>
          <w:sz w:val="24"/>
          <w:szCs w:val="24"/>
        </w:rPr>
        <w:t>Пожарная безопасность на территории Малиновского сельского поселения на 2017-2019 годы</w:t>
      </w:r>
      <w:r>
        <w:rPr>
          <w:color w:val="000000"/>
          <w:sz w:val="24"/>
          <w:szCs w:val="24"/>
        </w:rPr>
        <w:t>» - 138,0 тыс. руб. или 2,41% в общих расходах на реализацию муниципальных программ.</w:t>
      </w:r>
    </w:p>
    <w:p>
      <w:pPr>
        <w:pStyle w:val="Normal"/>
        <w:ind w:firstLine="540"/>
        <w:jc w:val="both"/>
        <w:rPr>
          <w:rFonts w:eastAsia="Courier New"/>
          <w:sz w:val="24"/>
          <w:szCs w:val="24"/>
        </w:rPr>
      </w:pPr>
      <w:r>
        <w:rPr>
          <w:color w:val="000000"/>
          <w:sz w:val="24"/>
          <w:szCs w:val="24"/>
        </w:rPr>
        <w:t>В 2018 году расходы бюджета поселения формировались в рамках следующих муниципальных программ:</w:t>
      </w:r>
    </w:p>
    <w:tbl>
      <w:tblPr>
        <w:tblW w:w="101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0"/>
        <w:gridCol w:w="6177"/>
        <w:gridCol w:w="1379"/>
        <w:gridCol w:w="989"/>
        <w:gridCol w:w="991"/>
      </w:tblGrid>
      <w:tr>
        <w:trPr/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6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факт</w:t>
            </w:r>
          </w:p>
        </w:tc>
      </w:tr>
      <w:tr>
        <w:trPr/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b/>
                <w:color w:val="000000"/>
              </w:rPr>
              <w:t xml:space="preserve">Муниципальная программа «Развитие и сохранение культуры на территории Малиновского сельского поселения на 2017-2019 годы» 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99,90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4170,8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4169,4</w:t>
            </w:r>
          </w:p>
        </w:tc>
      </w:tr>
      <w:tr>
        <w:trPr>
          <w:trHeight w:val="632" w:hRule="atLeast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ourier New"/>
              </w:rPr>
            </w:pPr>
            <w:r>
              <w:rPr>
                <w:b/>
                <w:color w:val="000000"/>
              </w:rPr>
              <w:t>Муниципальная программа «Пожарная безопасность на территории Малиновского сельского поселения на 2017-2019 годы»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138,0</w:t>
            </w:r>
          </w:p>
        </w:tc>
      </w:tr>
      <w:tr>
        <w:trPr>
          <w:trHeight w:val="632" w:hRule="atLeast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ourier New"/>
              </w:rPr>
            </w:pPr>
            <w:r>
              <w:rPr>
                <w:b/>
                <w:color w:val="000000"/>
              </w:rPr>
              <w:t>Муниципальная программа «Благоустройство территории Малиновского сельского поселения на 2017-2019 годы»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140,0</w:t>
            </w:r>
          </w:p>
        </w:tc>
      </w:tr>
      <w:tr>
        <w:trPr>
          <w:trHeight w:val="632" w:hRule="atLeast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ourier New"/>
              </w:rPr>
            </w:pPr>
            <w:r>
              <w:rPr>
                <w:b/>
                <w:color w:val="000000"/>
              </w:rPr>
              <w:t>Муниципальная программа «Формирование современной городской среды в Малиновском сельском поселении на 2018-2022 годы»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1290,0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1290,0</w:t>
            </w:r>
          </w:p>
        </w:tc>
      </w:tr>
      <w:tr>
        <w:trPr>
          <w:trHeight w:val="632" w:hRule="atLeast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6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ourier New"/>
              </w:rPr>
            </w:pPr>
            <w:r>
              <w:rPr>
                <w:b/>
                <w:color w:val="000000"/>
              </w:rPr>
              <w:t>ВСЕГО РАСХОДОВ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b/>
                <w:color w:val="000000"/>
              </w:rPr>
              <w:t>99,90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b/>
                <w:color w:val="000000"/>
              </w:rPr>
              <w:t>5738,8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b/>
                <w:color w:val="000000"/>
              </w:rPr>
              <w:t>5737,4</w:t>
            </w:r>
          </w:p>
        </w:tc>
      </w:tr>
    </w:tbl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Выводы и рекомендации: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ListParagraph"/>
        <w:spacing w:lineRule="auto" w:line="240" w:before="0" w:after="0"/>
        <w:ind w:left="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Заключение на годовой отчет об исполнении бюджета Малиновского сельского поселения за 2019 год подготовлено в соответствии со ст. 157, ст. 264 Бюджетного кодекса Российской Федерации,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Дальнереченского муниципального района, </w:t>
      </w:r>
      <w:r>
        <w:rPr>
          <w:rFonts w:cs="Times New Roman" w:ascii="Times New Roman" w:hAnsi="Times New Roman"/>
          <w:sz w:val="24"/>
          <w:szCs w:val="24"/>
          <w:lang w:eastAsia="ru-RU"/>
        </w:rPr>
        <w:t>Соглашения от 09.01.2020 №1 «О передаче Контрольно-счетной палате Дальнереченского муниципального района части полномочий контрольно-счетного органа Малиновского сельского поселения по осуществлению внешнего муниципального финансового контроля»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240"/>
        <w:ind w:firstLine="4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Проведенная в соответствии с требованиями ст. 264.4 Бюджетного кодекса Российской Федерации и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 191н) внешняя проверка бюджетной отчетности Малиновского сельского поселения, показала следующее.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240"/>
        <w:ind w:firstLine="44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Годовой отчет «Об исполнении бюджета Малиновского сельского поселения за 2019 год» (далее – Отчет), годовая бюджетная отчетность главного распорядителя бюджетных средств за 2019 год представлены администрацией Малиновского сельского поселения для подготовки заключения в срок, установленный Бюджетным кодексом РФ, ст.70</w:t>
      </w:r>
      <w:r>
        <w:rPr>
          <w:rFonts w:cs="Times New Roman" w:ascii="Times New Roman" w:hAnsi="Times New Roman"/>
          <w:bCs/>
          <w:sz w:val="24"/>
          <w:szCs w:val="24"/>
        </w:rPr>
        <w:t xml:space="preserve"> Положения о бюджетном устройстве и бюджетном процессе в Малиновском</w:t>
      </w:r>
      <w:r>
        <w:rPr>
          <w:rFonts w:cs="Times New Roman" w:ascii="Times New Roman" w:hAnsi="Times New Roman"/>
          <w:sz w:val="24"/>
          <w:szCs w:val="24"/>
        </w:rPr>
        <w:t xml:space="preserve"> сельском поселении</w:t>
      </w:r>
      <w:r>
        <w:rPr>
          <w:rFonts w:cs="Times New Roman" w:ascii="Times New Roman" w:hAnsi="Times New Roman"/>
          <w:bCs/>
          <w:sz w:val="24"/>
          <w:szCs w:val="24"/>
        </w:rPr>
        <w:t xml:space="preserve">. 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right="-142" w:firstLine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 сформирован в соответствии с приказом Министерства финансов Российской Федерации от 28.12.2010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(в ред. от 16.11.2016).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right="-142" w:firstLine="44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Пакет документов и материалов, предоставляемых к Отчету в обязательном порядке, представлен в Контрольно-счетную палату Дальнереченского муниципального района в полном соответствии с требованиями ст. 264.1 Бюджетного кодекса РФ.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right="-142" w:firstLine="44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>
      <w:pPr>
        <w:pStyle w:val="Normal"/>
        <w:suppressAutoHyphens w:val="true"/>
        <w:spacing w:lineRule="auto" w:line="240" w:before="0" w:after="0"/>
        <w:ind w:firstLine="4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В ходе проверки установлено, что утвержденные показатели бюджетной росписи соответствуют решению о бюджете на 2019 год (с изменениями и дополнениями), что соответствует требованиям ст. 217 Бюджетного кодекса РФ. </w:t>
      </w:r>
    </w:p>
    <w:p>
      <w:pPr>
        <w:pStyle w:val="Normal"/>
        <w:suppressAutoHyphens w:val="true"/>
        <w:spacing w:lineRule="auto" w:line="240" w:before="0" w:after="0"/>
        <w:ind w:firstLine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Плановые бюджетные назначения, отраженные в ф. 0503117 «Отчет об исполнении бюджета» по разделу 1. «Доходы бюджета» соответствуют утвержденным решением о бюджете плановым (прогнозным) показателям по доходам; по разделу 2. «Расходы бюджета», соответствуют сумме назначений, отраженных в сводной бюджетной росписи, что соответствует Инструкции № 191н.</w:t>
      </w:r>
    </w:p>
    <w:p>
      <w:pPr>
        <w:pStyle w:val="ConsPlusNonformat"/>
        <w:ind w:firstLine="448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ar-SA"/>
        </w:rPr>
        <w:t>Пояснительная записка (ф.0503160) по форме и содержанию соответствует требованиям, установленным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>
      <w:pPr>
        <w:pStyle w:val="Normal"/>
        <w:suppressAutoHyphens w:val="true"/>
        <w:spacing w:lineRule="auto" w:line="240" w:before="0" w:after="0"/>
        <w:ind w:firstLine="4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  <w:lang w:eastAsia="ar-SA"/>
        </w:rPr>
        <w:t>В соответствии с п. 7 Инструкции № 191н, б</w:t>
      </w:r>
      <w:r>
        <w:rPr>
          <w:rFonts w:cs="Times New Roman" w:ascii="Times New Roman" w:hAnsi="Times New Roman"/>
          <w:sz w:val="24"/>
          <w:szCs w:val="24"/>
          <w:lang w:eastAsia="ru-RU"/>
        </w:rPr>
        <w:t>юджетная отчетность составляется на основе данных Главной книги и (или) других регистров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 П</w:t>
      </w:r>
      <w:r>
        <w:rPr>
          <w:rFonts w:cs="Times New Roman" w:ascii="Times New Roman" w:hAnsi="Times New Roman"/>
          <w:sz w:val="24"/>
          <w:szCs w:val="24"/>
          <w:lang w:eastAsia="ar-SA"/>
        </w:rPr>
        <w:t>роверкой Главной книги администрации Малиновского сельского поселения, с формами бюджетной отчетности, нарушений не установлено.</w:t>
      </w:r>
    </w:p>
    <w:p>
      <w:pPr>
        <w:pStyle w:val="Normal"/>
        <w:suppressAutoHyphens w:val="true"/>
        <w:spacing w:lineRule="auto" w:line="240" w:before="0" w:after="0"/>
        <w:ind w:firstLine="4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В целях обеспечения достоверности данных бюджетного учета и бюджетной отчетности, администрацией Малиновского сельского поселения на основании ст. 11 Федерального закона от 06.12.2011 № 402-ФЗ «О бухгалтерском учете», п. 7 Инструкции № 191н, перед составлением годовой бюджетной отчетности проведена инвентаризация активов и обязательств, нарушений не установлено.</w:t>
      </w:r>
    </w:p>
    <w:p>
      <w:pPr>
        <w:pStyle w:val="Normal"/>
        <w:suppressAutoHyphens w:val="true"/>
        <w:spacing w:lineRule="auto" w:line="240" w:before="0" w:after="0"/>
        <w:ind w:firstLine="448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cs="Times New Roman" w:ascii="Times New Roman" w:hAnsi="Times New Roman"/>
          <w:color w:val="FF0000"/>
          <w:sz w:val="24"/>
          <w:szCs w:val="24"/>
          <w:lang w:eastAsia="ar-SA"/>
        </w:rPr>
      </w:r>
    </w:p>
    <w:p>
      <w:pPr>
        <w:pStyle w:val="ListParagraph"/>
        <w:spacing w:lineRule="auto" w:line="240" w:before="0" w:after="0"/>
        <w:ind w:left="0" w:firstLine="4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</w:rPr>
        <w:t>Правовой основой исполнения бюджета 2019 года являлось решение муниципального комитета с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 Малиновского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сельского поселения от 21.12.2018 №110 «О бюджете Малиновского сельского поселения на 2019 год плановый период 2020-2021годы» (с изменениями и дополнениями).</w:t>
      </w:r>
    </w:p>
    <w:p>
      <w:pPr>
        <w:pStyle w:val="Normal"/>
        <w:spacing w:lineRule="auto" w:line="240" w:before="0" w:after="120"/>
        <w:ind w:firstLine="4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ходе исполнения бюджета поселения в решение о бюджете 3 раз вносились изменения.</w:t>
      </w:r>
    </w:p>
    <w:p>
      <w:pPr>
        <w:pStyle w:val="BodyText3"/>
        <w:tabs>
          <w:tab w:val="clear" w:pos="708"/>
          <w:tab w:val="left" w:pos="284" w:leader="none"/>
        </w:tabs>
        <w:ind w:firstLine="448"/>
        <w:rPr/>
      </w:pPr>
      <w:r>
        <w:rPr/>
        <w:t>Уточненный план по доходам бюджета исполнен на 98,6 процента, кассовое поступление составило 11140,00 тыс. рублей. В структуре доходной части бюджета в 2019 году наибольший удельный вес имеют безвозмездные поступления, которые составили 77,68 процента (в 2018 году 72,54 процента). Собственные доходы (налоговые и неналоговые) составили 22,32% (в 2018 году соответственно 27,46 процента). Наблюдается снижение доли собственных доходов и увеличение безвозмездных поступлений   в местный бюджет.</w:t>
      </w:r>
    </w:p>
    <w:p>
      <w:pPr>
        <w:pStyle w:val="BodyText3"/>
        <w:tabs>
          <w:tab w:val="clear" w:pos="708"/>
          <w:tab w:val="left" w:pos="284" w:leader="none"/>
        </w:tabs>
        <w:ind w:firstLine="448"/>
        <w:rPr/>
      </w:pPr>
      <w:r>
        <w:rPr/>
        <w:t>Установленный решением о бюджете Малиновского сельского поселения на 2019 год план по налоговым доходам исполнен на 104,00 процента в сумме 1 378,9 тыс. рублей. Бюджетные назначения по неналоговым доходам исполнены на 100,7 процента в размере 1107,2 тыс. рублей (2018 год –356,60 тыс. рублей).</w:t>
      </w:r>
    </w:p>
    <w:p>
      <w:pPr>
        <w:pStyle w:val="BodyText3"/>
        <w:tabs>
          <w:tab w:val="clear" w:pos="708"/>
          <w:tab w:val="left" w:pos="284" w:leader="none"/>
        </w:tabs>
        <w:ind w:firstLine="448"/>
        <w:rPr/>
      </w:pPr>
      <w:r>
        <w:rPr/>
        <w:t xml:space="preserve">Безвозмездные поступления в бюджет Малиновского сельского поселения составили 8653,90 тыс. рублей или 97,5 процента от плановых назначений в сумме 4540,20 тыс. рублей. </w:t>
      </w:r>
    </w:p>
    <w:p>
      <w:pPr>
        <w:pStyle w:val="Normal"/>
        <w:spacing w:lineRule="auto" w:line="240" w:before="0" w:after="0"/>
        <w:ind w:firstLine="4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исполнение расходных обязательств бюджета поселения было направлено в 2019 году 10601,10 тыс. рублей. Бюджет исполнен с профицитом в размере 538,90 тыс. рублей. </w:t>
      </w:r>
    </w:p>
    <w:p>
      <w:pPr>
        <w:pStyle w:val="BodyText3"/>
        <w:tabs>
          <w:tab w:val="clear" w:pos="708"/>
          <w:tab w:val="left" w:pos="284" w:leader="none"/>
        </w:tabs>
        <w:ind w:firstLine="448"/>
        <w:rPr/>
      </w:pPr>
      <w:r>
        <w:rPr/>
        <w:t>По состоянию на 1 января 2020 года остаток средств на счетах бюджета в органе Федерального казначейства составил   2377-68 тыс. рублей.</w:t>
      </w:r>
    </w:p>
    <w:p>
      <w:pPr>
        <w:pStyle w:val="BodyText3"/>
        <w:tabs>
          <w:tab w:val="clear" w:pos="708"/>
          <w:tab w:val="left" w:pos="284" w:leader="none"/>
        </w:tabs>
        <w:ind w:firstLine="448"/>
        <w:rPr>
          <w:color w:val="000000"/>
        </w:rPr>
      </w:pPr>
      <w:r>
        <w:rPr/>
        <w:t>Дебиторской задолженности по бюджетной деятельности на 01.01.2019 года составила 23716,40 тыс. рублей в том числе просроченная 377,59 тыс. рублей, на конец отчётного периода 22791,62тыс. рублей, в том числе просроченная 359,91 тыс. руб.</w:t>
      </w:r>
      <w:r>
        <w:rPr>
          <w:color w:val="000000"/>
        </w:rPr>
        <w:t xml:space="preserve"> Уменьшение на - 924,77тыс. руб.</w:t>
      </w:r>
    </w:p>
    <w:p>
      <w:pPr>
        <w:pStyle w:val="BodyText3"/>
        <w:tabs>
          <w:tab w:val="clear" w:pos="708"/>
          <w:tab w:val="left" w:pos="284" w:leader="none"/>
        </w:tabs>
        <w:ind w:firstLine="448"/>
        <w:rPr/>
      </w:pPr>
      <w:r>
        <w:rPr/>
        <w:t>На 01.01.2019года сумма кредиторской задолженности по бюджетной деятельности составила 23609,25тыс. рублей, на конец отчётного периода 22691,66тыс. рублей, в том числе: просроченная 0.00 руб. Снижение на -917,59тыс. рублей.</w:t>
      </w:r>
    </w:p>
    <w:p>
      <w:pPr>
        <w:pStyle w:val="BodyText3"/>
        <w:ind w:firstLine="448"/>
        <w:rPr>
          <w:rFonts w:eastAsia="Courier New"/>
        </w:rPr>
      </w:pPr>
      <w:r>
        <w:rPr/>
        <w:t>Решением о бюджете поселения расходы на исполнение муниципальных программ на 2019 год</w:t>
      </w:r>
      <w:r>
        <w:rPr>
          <w:color w:val="000000"/>
        </w:rPr>
        <w:t xml:space="preserve"> было направлено 5737,40 тыс. руб. или 54,12% от общего объема расходов.</w:t>
      </w:r>
    </w:p>
    <w:p>
      <w:pPr>
        <w:pStyle w:val="Normal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Наибольший удельный вес составляют расходы на реализацию следующих муниципальных программ:</w:t>
      </w:r>
    </w:p>
    <w:p>
      <w:pPr>
        <w:pStyle w:val="Normal"/>
        <w:ind w:firstLine="900"/>
        <w:jc w:val="both"/>
        <w:rPr>
          <w:rFonts w:eastAsia="Courier New"/>
          <w:sz w:val="24"/>
          <w:szCs w:val="24"/>
        </w:rPr>
      </w:pPr>
      <w:r>
        <w:rPr>
          <w:color w:val="000000"/>
          <w:sz w:val="24"/>
          <w:szCs w:val="24"/>
        </w:rPr>
        <w:t>- МП «</w:t>
      </w:r>
      <w:r>
        <w:rPr>
          <w:b/>
          <w:color w:val="000000"/>
          <w:sz w:val="24"/>
          <w:szCs w:val="24"/>
        </w:rPr>
        <w:t>Развитие и сохранение культуры на территории Малиновского сельского поселения на 2017-2019 годы</w:t>
      </w:r>
      <w:r>
        <w:rPr>
          <w:color w:val="000000"/>
          <w:sz w:val="24"/>
          <w:szCs w:val="24"/>
        </w:rPr>
        <w:t>» 4169,4 тыс. руб. или 72,67% в общих расходах на реализацию муниципальных программ,</w:t>
      </w:r>
    </w:p>
    <w:p>
      <w:pPr>
        <w:pStyle w:val="Normal"/>
        <w:ind w:firstLine="900"/>
        <w:jc w:val="both"/>
        <w:rPr>
          <w:rFonts w:eastAsia="Courier New"/>
          <w:sz w:val="24"/>
          <w:szCs w:val="24"/>
        </w:rPr>
      </w:pPr>
      <w:r>
        <w:rPr>
          <w:color w:val="000000"/>
          <w:sz w:val="24"/>
          <w:szCs w:val="24"/>
        </w:rPr>
        <w:t>- МП «</w:t>
      </w:r>
      <w:r>
        <w:rPr>
          <w:b/>
          <w:color w:val="000000"/>
          <w:sz w:val="24"/>
          <w:szCs w:val="24"/>
        </w:rPr>
        <w:t>Формирование современной городской среды в Малиновском сельском поселении на 2018-2022 годы</w:t>
      </w:r>
      <w:r>
        <w:rPr>
          <w:color w:val="000000"/>
          <w:sz w:val="24"/>
          <w:szCs w:val="24"/>
        </w:rPr>
        <w:t>» - 1290,0 тыс. руб. или 22,48% в общих расходах на реализацию муниципальных программ,</w:t>
      </w:r>
    </w:p>
    <w:p>
      <w:pPr>
        <w:pStyle w:val="Normal"/>
        <w:ind w:firstLine="900"/>
        <w:jc w:val="both"/>
        <w:rPr>
          <w:rFonts w:eastAsia="Courier New"/>
          <w:sz w:val="24"/>
          <w:szCs w:val="24"/>
        </w:rPr>
      </w:pPr>
      <w:r>
        <w:rPr>
          <w:color w:val="000000"/>
          <w:sz w:val="24"/>
          <w:szCs w:val="24"/>
        </w:rPr>
        <w:t>- МП «</w:t>
      </w:r>
      <w:r>
        <w:rPr>
          <w:b/>
          <w:color w:val="000000"/>
          <w:sz w:val="24"/>
          <w:szCs w:val="24"/>
        </w:rPr>
        <w:t>Благоустройство территории Малиновского сельского поселения на 2017-2019 годы</w:t>
      </w:r>
      <w:r>
        <w:rPr>
          <w:color w:val="000000"/>
          <w:sz w:val="24"/>
          <w:szCs w:val="24"/>
        </w:rPr>
        <w:t>» - 140,0 тыс. руб. или 2,44% в общих расходах на реализацию муниципальных программ,</w:t>
      </w:r>
    </w:p>
    <w:p>
      <w:pPr>
        <w:pStyle w:val="Normal"/>
        <w:ind w:firstLine="900"/>
        <w:jc w:val="both"/>
        <w:rPr>
          <w:rFonts w:eastAsia="Courier New"/>
          <w:sz w:val="24"/>
          <w:szCs w:val="24"/>
        </w:rPr>
      </w:pPr>
      <w:r>
        <w:rPr>
          <w:color w:val="000000"/>
          <w:sz w:val="24"/>
          <w:szCs w:val="24"/>
        </w:rPr>
        <w:t>- МП «</w:t>
      </w:r>
      <w:r>
        <w:rPr>
          <w:b/>
          <w:color w:val="000000"/>
          <w:sz w:val="24"/>
          <w:szCs w:val="24"/>
        </w:rPr>
        <w:t>Пожарная безопасность на территории Малиновского сельского поселения на 2017-2019 годы</w:t>
      </w:r>
      <w:r>
        <w:rPr>
          <w:color w:val="000000"/>
          <w:sz w:val="24"/>
          <w:szCs w:val="24"/>
        </w:rPr>
        <w:t>» - 138,0 тыс. руб. или 2,41% в общих расходах на реализацию муниципальных программ.</w:t>
      </w:r>
    </w:p>
    <w:p>
      <w:pPr>
        <w:pStyle w:val="Normal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проведенной внешней проверки годового отчета об исполнении бюджета Малиновского сельского поселения за 2019 год, Контрольно-счетная палата Дальнереченского муниципального района предлагает администрации Малиновского сельского поселения:</w:t>
      </w:r>
    </w:p>
    <w:p>
      <w:pPr>
        <w:pStyle w:val="BodyText3"/>
        <w:numPr>
          <w:ilvl w:val="0"/>
          <w:numId w:val="1"/>
        </w:numPr>
        <w:ind w:left="0" w:firstLine="448"/>
        <w:rPr/>
      </w:pPr>
      <w:bookmarkStart w:id="0" w:name="_GoBack"/>
      <w:bookmarkEnd w:id="0"/>
      <w:r>
        <w:rPr/>
        <w:t>Обеспечить снижение дебиторской и кредиторской задолженности;</w:t>
      </w:r>
    </w:p>
    <w:p>
      <w:pPr>
        <w:pStyle w:val="BodyText3"/>
        <w:ind w:left="448" w:hanging="0"/>
        <w:rPr/>
      </w:pPr>
      <w:r>
        <w:rPr/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Не допускать </w:t>
      </w:r>
      <w:r>
        <w:rPr>
          <w:sz w:val="24"/>
          <w:szCs w:val="24"/>
        </w:rPr>
        <w:t>неэффективных расходов</w:t>
      </w:r>
      <w:r>
        <w:rPr>
          <w:sz w:val="24"/>
          <w:szCs w:val="24"/>
          <w:lang w:val="en-US"/>
        </w:rPr>
        <w:t>;</w:t>
      </w:r>
    </w:p>
    <w:p>
      <w:pPr>
        <w:pStyle w:val="ListParagraph"/>
        <w:rPr/>
      </w:pPr>
      <w:r>
        <w:rPr/>
      </w:r>
    </w:p>
    <w:p>
      <w:pPr>
        <w:pStyle w:val="BodyText3"/>
        <w:numPr>
          <w:ilvl w:val="0"/>
          <w:numId w:val="1"/>
        </w:numPr>
        <w:suppressAutoHyphens w:val="true"/>
        <w:rPr/>
      </w:pPr>
      <w:r>
        <w:rPr/>
        <w:t xml:space="preserve">Проводить оценку эффективности реализации муниципальных программ. </w:t>
      </w:r>
    </w:p>
    <w:p>
      <w:pPr>
        <w:pStyle w:val="ListParagraph"/>
        <w:suppressAutoHyphens w:val="true"/>
        <w:spacing w:lineRule="auto" w:line="240" w:before="0" w:after="0"/>
        <w:ind w:left="360" w:hanging="0"/>
        <w:jc w:val="both"/>
        <w:rPr/>
      </w:pPr>
      <w:r>
        <w:rPr/>
        <w:t xml:space="preserve"> </w:t>
      </w:r>
    </w:p>
    <w:p>
      <w:pPr>
        <w:pStyle w:val="ListParagraph"/>
        <w:spacing w:lineRule="auto" w:line="240" w:before="0" w:after="0"/>
        <w:ind w:left="448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spacing w:lineRule="auto" w:line="240" w:before="0" w:after="0"/>
        <w:ind w:left="1789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spacing w:lineRule="auto" w:line="240" w:before="0" w:after="0"/>
        <w:ind w:left="1789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spacing w:lineRule="auto" w:line="240" w:before="0" w:after="0"/>
        <w:ind w:left="1789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spacing w:lineRule="auto" w:line="240" w:before="0" w:after="0"/>
        <w:ind w:left="1789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spacing w:lineRule="auto" w:line="240" w:before="0" w:after="0"/>
        <w:ind w:left="1789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Главный инспектор Контрольно-счетной                                                         А.А. Богуш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палаты Дальнереченского муниципального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района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</w:r>
    </w:p>
    <w:sectPr>
      <w:footerReference w:type="default" r:id="rId2"/>
      <w:type w:val="nextPage"/>
      <w:pgSz w:w="11906" w:h="16838"/>
      <w:pgMar w:left="1701" w:right="680" w:header="0" w:top="539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2240" cy="17081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  <w:spacing w:before="0" w:after="200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1.2pt;height:13.45pt;mso-wrap-distance-left:0pt;mso-wrap-distance-right:0pt;mso-wrap-distance-top:0pt;mso-wrap-distance-bottom:0pt;margin-top:0.05pt;mso-position-vertical-relative:text;margin-left:465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spacing w:before="0" w:after="200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5841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515841"/>
    <w:pPr>
      <w:keepNext w:val="true"/>
      <w:keepLines/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515841"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515841"/>
    <w:rPr>
      <w:rFonts w:ascii="Tahoma" w:hAnsi="Tahoma" w:eastAsia="Calibri" w:cs="Tahoma"/>
      <w:sz w:val="16"/>
      <w:szCs w:val="16"/>
    </w:rPr>
  </w:style>
  <w:style w:type="character" w:styleId="3" w:customStyle="1">
    <w:name w:val="Основной текст 3 Знак"/>
    <w:basedOn w:val="DefaultParagraphFont"/>
    <w:link w:val="3"/>
    <w:uiPriority w:val="99"/>
    <w:qFormat/>
    <w:rsid w:val="0051584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515841"/>
    <w:rPr>
      <w:rFonts w:ascii="Calibri" w:hAnsi="Calibri" w:eastAsia="Calibri" w:cs="Calibri"/>
    </w:rPr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515841"/>
    <w:rPr>
      <w:rFonts w:ascii="Calibri" w:hAnsi="Calibri" w:eastAsia="Calibri" w:cs="Calibri"/>
    </w:rPr>
  </w:style>
  <w:style w:type="character" w:styleId="Pagenumber">
    <w:name w:val="page number"/>
    <w:basedOn w:val="DefaultParagraphFont"/>
    <w:uiPriority w:val="99"/>
    <w:qFormat/>
    <w:rsid w:val="00515841"/>
    <w:rPr/>
  </w:style>
  <w:style w:type="character" w:styleId="Strong">
    <w:name w:val="Strong"/>
    <w:uiPriority w:val="22"/>
    <w:qFormat/>
    <w:rsid w:val="007f52c5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qFormat/>
    <w:rsid w:val="0051584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841"/>
    <w:pPr>
      <w:ind w:left="720" w:hanging="0"/>
    </w:pPr>
    <w:rPr/>
  </w:style>
  <w:style w:type="paragraph" w:styleId="BodyText3">
    <w:name w:val="Body Text 3"/>
    <w:basedOn w:val="Normal"/>
    <w:link w:val="30"/>
    <w:uiPriority w:val="99"/>
    <w:qFormat/>
    <w:rsid w:val="0051584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8"/>
    <w:uiPriority w:val="99"/>
    <w:rsid w:val="0051584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a"/>
    <w:uiPriority w:val="99"/>
    <w:rsid w:val="0051584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harChar" w:customStyle="1">
    <w:name w:val="Char Знак Знак Char Знак Знак Знак Знак Знак Знак Знак Знак Знак Знак Знак Знак Знак Знак Знак Знак"/>
    <w:basedOn w:val="Normal"/>
    <w:qFormat/>
    <w:rsid w:val="00515841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ConsPlusNormal" w:customStyle="1">
    <w:name w:val="ConsPlusNormal"/>
    <w:qFormat/>
    <w:rsid w:val="00da2d9b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val="ru-RU" w:eastAsia="en-US" w:bidi="ar-SA"/>
    </w:rPr>
  </w:style>
  <w:style w:type="paragraph" w:styleId="ConsPlusNonformat" w:customStyle="1">
    <w:name w:val="ConsPlusNonformat"/>
    <w:qFormat/>
    <w:rsid w:val="002f15c6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Default" w:customStyle="1">
    <w:name w:val="Default"/>
    <w:qFormat/>
    <w:rsid w:val="0046203f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eastAsia="ru-RU" w:val="ru-RU" w:bidi="ar-SA"/>
    </w:rPr>
  </w:style>
  <w:style w:type="paragraph" w:styleId="12" w:customStyle="1">
    <w:name w:val="Абзац списка1"/>
    <w:basedOn w:val="Normal"/>
    <w:qFormat/>
    <w:rsid w:val="00b22b40"/>
    <w:pPr>
      <w:ind w:left="720" w:hanging="0"/>
    </w:pPr>
    <w:rPr>
      <w:rFonts w:eastAsia="Times New Roman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515841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7A29-6417-4D10-9717-643C94EF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Application>LibreOffice/7.0.3.1$Windows_X86_64 LibreOffice_project/d7547858d014d4cf69878db179d326fc3483e082</Application>
  <Pages>8</Pages>
  <Words>3211</Words>
  <Characters>21888</Characters>
  <CharactersWithSpaces>25531</CharactersWithSpaces>
  <Paragraphs>277</Paragraphs>
  <Company>duma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2020-04-06T07:32:00Z</dcterms:created>
  <dc:creator>duma</dc:creator>
  <dc:description/>
  <dc:language>ru-RU</dc:language>
  <cp:lastModifiedBy>Urist</cp:lastModifiedBy>
  <cp:lastPrinted>2017-03-17T00:52:00Z</cp:lastPrinted>
  <dcterms:modified xsi:type="dcterms:W3CDTF">2020-04-09T23:16:00Z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duma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