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-540" w:hanging="0"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532765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4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180" w:right="-615" w:hanging="0"/>
        <w:jc w:val="center"/>
        <w:rPr>
          <w:rFonts w:ascii="Times New Roman" w:hAnsi="Times New Roman"/>
          <w:b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АДМИНИСТРАЦИЯ ДАЛЬНЕРЕЧЕНСКОГО МУНИЦИПАЛЬНОГО РАЙОНА</w:t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Style19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июня 2024 г.                                          г.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Дальнереченск                                              № 281-па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Дальнереченского муниципального района от 08.04.2024 г. № 160-па "О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интересов".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      В.С. Дернов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>
      <w:pPr>
        <w:pStyle w:val="Style24"/>
        <w:jc w:val="left"/>
        <w:rPr>
          <w:b w:val="false"/>
          <w:b w:val="false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 w:val="false"/>
          <w:bCs/>
          <w:sz w:val="28"/>
          <w:szCs w:val="28"/>
        </w:rPr>
        <w:t xml:space="preserve">Приложение №1 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17.06.2024 № 281-па.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в соответствии с Федеральным </w:t>
      </w:r>
      <w:hyperlink r:id="rId3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Дальнереченского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"д"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наличии)";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Start w:id="4" w:name="Par73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</w:t>
      </w:r>
      <w:hyperlink r:id="rId6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должности, и иных лиц их доходам");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"д", пункта 11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Уведомления, указанные в абзаце четвертом подпункта "б" и подпункте "е" пункта 11 настоящего Положения, рассматриваются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12.5.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подпунктах "д"  и "е" 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>
        <w:rPr>
          <w:rFonts w:ascii="Times New Roman" w:hAnsi="Times New Roman"/>
          <w:sz w:val="28"/>
          <w:szCs w:val="28"/>
        </w:rPr>
        <w:t xml:space="preserve"> от него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подпунктах "д" и "е" пункта 11 настоящего Положения;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подпунктах "д" и "е" пункта 11 настоящего Положения, а также рекомендации для принятия одного из решений в соответствии с пунктами 19, 20.2, 21.1, 21.2, настоящего Положения или иного решения".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администрации и с результатами ее проверки;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1">
        <w:r>
          <w:rPr>
            <w:rFonts w:ascii="Times New Roman" w:hAnsi="Times New Roman"/>
            <w:sz w:val="28"/>
            <w:szCs w:val="28"/>
          </w:rPr>
          <w:t>подпункте "д"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2">
        <w:r>
          <w:rPr>
            <w:rFonts w:ascii="Times New Roman" w:hAnsi="Times New Roman"/>
            <w:sz w:val="28"/>
            <w:szCs w:val="28"/>
          </w:rPr>
          <w:t>подпунктами "б"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подпунктом 1.1 пункта 1 Положения о проверке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№ 49-пг, являются достоверными и полными;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1.1. пункта 1 Положения, названного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3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6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7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"д"  и "е"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1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2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-21.2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3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21.2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5">
        <w:r>
          <w:rPr>
            <w:rFonts w:ascii="Times New Roman" w:hAnsi="Times New Roman"/>
            <w:sz w:val="28"/>
            <w:szCs w:val="28"/>
            <w:lang w:eastAsia="ru-RU"/>
          </w:rPr>
          <w:t>подпункте "е" пункта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по профилактике коррупционных и иных правонарушений.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и урегулированию конфликта интересов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</w:rPr>
        <w:t xml:space="preserve"> 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(указать наименование должности)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</w:rPr>
        <w:t>):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которую гражданин замещал)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и урегулированию конфликта интересов</w:t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указанием Ф.И.О.))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(дата)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района от 17.06.2024 № 281 –па.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6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"Центр обучения противодействия коррупции",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5" w:header="0" w:top="426" w:footer="0" w:bottom="70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6" w:customStyle="1">
    <w:name w:val="Верхний колонтитул Знак"/>
    <w:basedOn w:val="DefaultParagraphFont"/>
    <w:link w:val="af"/>
    <w:uiPriority w:val="99"/>
    <w:qFormat/>
    <w:rsid w:val="00dd5367"/>
    <w:rPr>
      <w:lang w:eastAsia="en-US"/>
    </w:rPr>
  </w:style>
  <w:style w:type="character" w:styleId="Style17" w:customStyle="1">
    <w:name w:val="Нижний колонтитул Знак"/>
    <w:basedOn w:val="DefaultParagraphFont"/>
    <w:link w:val="af1"/>
    <w:uiPriority w:val="99"/>
    <w:qFormat/>
    <w:rsid w:val="00dd5367"/>
    <w:rPr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"/>
    <w:basedOn w:val="Normal"/>
    <w:qFormat/>
    <w:rsid w:val="00b8009d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4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0"/>
    <w:uiPriority w:val="99"/>
    <w:unhideWhenUsed/>
    <w:rsid w:val="00dd53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2"/>
    <w:uiPriority w:val="99"/>
    <w:unhideWhenUsed/>
    <w:rsid w:val="00dd53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8EAC1B5BD14F76A944B12D2CBC40BF76C20881D86DABE35C6AABF1EA6BEA391F8069104E12422D7l4r8C" TargetMode="External"/><Relationship Id="rId4" Type="http://schemas.openxmlformats.org/officeDocument/2006/relationships/hyperlink" Target="consultantplus://offline/ref=C8EAC1B5BD14F76A944B12D2CBC40BF76F2B871E8F8CE93797FFB1l1rBC" TargetMode="External"/><Relationship Id="rId5" Type="http://schemas.openxmlformats.org/officeDocument/2006/relationships/hyperlink" Target="consultantplus://offline/ref=C8EAC1B5BD14F76A944B12D2CBC40BF76C20881D86DABE35C6AABF1EA6lBrEC" TargetMode="External"/><Relationship Id="rId6" Type="http://schemas.openxmlformats.org/officeDocument/2006/relationships/hyperlink" Target="consultantplus://offline/ref=C8EAC1B5BD14F76A944B0CDFDDA855F86D28DE1681D3B1609BF5E443F1B7A9C6BF49C846A52923DE4F7177l2r6C" TargetMode="External"/><Relationship Id="rId7" Type="http://schemas.openxmlformats.org/officeDocument/2006/relationships/hyperlink" Target="consultantplus://offline/ref=2B4FBE51C445DB1E68320D653AB0897E2D7ABF14987D262D7E3BDC0AAFD1ECB5EEE39356E5u9C" TargetMode="External"/><Relationship Id="rId8" Type="http://schemas.openxmlformats.org/officeDocument/2006/relationships/hyperlink" Target="consultantplus://offline/ref=2B4FBE51C445DB1E68320D653AB0897E2D7ABA129C7D262D7E3BDC0AAFD1ECB5EEE393545DA5EAuBC" TargetMode="External"/><Relationship Id="rId9" Type="http://schemas.openxmlformats.org/officeDocument/2006/relationships/hyperlink" Target="consultantplus://offline/ref=E50724609FDD9F52A597623A5477FAC9DCE582A6B79F9C623034F88CE4EECCA357995E9FB027ACF841W0F" TargetMode="External"/><Relationship Id="rId10" Type="http://schemas.openxmlformats.org/officeDocument/2006/relationships/hyperlink" Target="consultantplus://offline/ref=E50724609FDD9F52A597623A5477FAC9DCE582A6B79F9C623034F88CE4EECCA357995E9FB027ADF441W3F" TargetMode="External"/><Relationship Id="rId11" Type="http://schemas.openxmlformats.org/officeDocument/2006/relationships/hyperlink" Target="consultantplus://offline/ref=E50724609FDD9F52A597623A5477FAC9DCE582A6B79F9C623034F88CE4EECCA357995E49WFF" TargetMode="External"/><Relationship Id="rId12" Type="http://schemas.openxmlformats.org/officeDocument/2006/relationships/hyperlink" Target="consultantplus://offline/ref=2138C4860793167E0FEE4E8BC17EBF251B1B9E9BC34B598D90112BAB57036CA552F067BFDB034A72t4mDF" TargetMode="External"/><Relationship Id="rId13" Type="http://schemas.openxmlformats.org/officeDocument/2006/relationships/hyperlink" Target="consultantplus://offline/ref=01C49964FC07B8DA49E6C513D38442E9A5F52AD05C734786C0DA71D575EF215CF8CAECD7013E43BEIF6FW" TargetMode="External"/><Relationship Id="rId14" Type="http://schemas.openxmlformats.org/officeDocument/2006/relationships/hyperlink" Target="consultantplus://offline/ref=01C49964FC07B8DA49E6C513D38442E9A5F422DA59714786C0DA71D575EF215CF8CAECD7013E42BF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ADDDDEE8AB35C34E1F652243B5B9203C54AE9DDA5C91F002C2A8E48F457CF072B375AB7C160CF9CEf3gFG" TargetMode="External"/><Relationship Id="rId17" Type="http://schemas.openxmlformats.org/officeDocument/2006/relationships/hyperlink" Target="consultantplus://offline/ref=085A2D8759830AC7719525E7D43491F2D94FDC8DDE5B8791146BC4583A4C6D1F4E9877D8790ED9ECmDD5X" TargetMode="External"/><Relationship Id="rId18" Type="http://schemas.openxmlformats.org/officeDocument/2006/relationships/hyperlink" Target="consultantplus://offline/ref=085A2D8759830AC7719525E7D43491F2D94FDC8DDE5B8791146BC4583A4C6D1F4E9877D8790ED9ECmDD0X" TargetMode="External"/><Relationship Id="rId19" Type="http://schemas.openxmlformats.org/officeDocument/2006/relationships/hyperlink" Target="consultantplus://offline/ref=085A2D8759830AC7719525E7D43491F2D94FDC8DDE5B8791146BC4583A4C6D1F4E9877D8790ED8E7mDDCX" TargetMode="External"/><Relationship Id="rId20" Type="http://schemas.openxmlformats.org/officeDocument/2006/relationships/hyperlink" Target="consultantplus://offline/ref=085A2D8759830AC7719525E7D43491F2D94FDC8DDE5B8791146BC4583A4C6D1F4E9877D8790ED8E0mDD2X" TargetMode="External"/><Relationship Id="rId21" Type="http://schemas.openxmlformats.org/officeDocument/2006/relationships/hyperlink" Target="consultantplus://offline/ref=085A2D8759830AC7719525E7D43491F2D94FDC8DDE5B8791146BC4583A4C6D1F4E9877D8790ED8E7mDDDX" TargetMode="External"/><Relationship Id="rId22" Type="http://schemas.openxmlformats.org/officeDocument/2006/relationships/hyperlink" Target="consultantplus://offline/ref=085A2D8759830AC7719525E7D43491F2D94FDC8DDE5B8791146BC4583A4C6D1F4E9877D8790ED8E2mDD0X" TargetMode="External"/><Relationship Id="rId23" Type="http://schemas.openxmlformats.org/officeDocument/2006/relationships/hyperlink" Target="consultantplus://offline/ref=085A2D8759830AC7719525E7D43491F2D94FDC8DDE5B8791146BC4583A4C6D1F4E9877mDD8X" TargetMode="External"/><Relationship Id="rId24" Type="http://schemas.openxmlformats.org/officeDocument/2006/relationships/hyperlink" Target="consultantplus://offline/ref=085A2D8759830AC7719525E7D43491F2D94FD884DA5B8791146BC4583A4C6D1F4E9877DBm7D1X" TargetMode="External"/><Relationship Id="rId25" Type="http://schemas.openxmlformats.org/officeDocument/2006/relationships/hyperlink" Target="https://login.consultant.ru/link/?req=doc&amp;base=LAW&amp;n=468056&amp;dst=100178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Application>LibreOffice/6.4.4.2$Linux_X86_64 LibreOffice_project/40$Build-2</Application>
  <Pages>15</Pages>
  <Words>4570</Words>
  <Characters>35292</Characters>
  <CharactersWithSpaces>40529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2024-04-08T05:06:00Z</dcterms:created>
  <dc:creator>URISTDMR</dc:creator>
  <dc:description/>
  <dc:language>ru-RU</dc:language>
  <cp:lastModifiedBy>user1</cp:lastModifiedBy>
  <cp:lastPrinted>2024-06-17T04:56:00Z</cp:lastPrinted>
  <dcterms:modified xsi:type="dcterms:W3CDTF">2024-06-17T04:56:00Z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