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NSimSun" w:cs="Mangal"/>
          <w:kern w:val="2"/>
          <w:sz w:val="12"/>
          <w:szCs w:val="12"/>
          <w:lang w:eastAsia="zh-CN" w:bidi="hi-IN"/>
        </w:rPr>
      </w:pPr>
      <w:r>
        <w:rPr/>
        <w:drawing>
          <wp:inline distT="0" distB="0" distL="0" distR="0">
            <wp:extent cx="492125" cy="6076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NSimSun" w:cs="Mangal"/>
          <w:kern w:val="2"/>
          <w:sz w:val="12"/>
          <w:szCs w:val="12"/>
          <w:lang w:eastAsia="zh-CN" w:bidi="hi-IN"/>
        </w:rPr>
      </w:pPr>
      <w:r>
        <w:rPr/>
      </w:r>
    </w:p>
    <w:p>
      <w:pPr>
        <w:pStyle w:val="Normal"/>
        <w:pBdr/>
        <w:spacing w:lineRule="auto" w:line="276" w:before="0" w:after="140"/>
        <w:jc w:val="center"/>
        <w:textAlignment w:val="baseline"/>
        <w:rPr>
          <w:rFonts w:ascii="Liberation Serif" w:hAnsi="Liberation Serif" w:eastAsia="NSimSun" w:cs="Mangal"/>
          <w:kern w:val="2"/>
          <w:sz w:val="26"/>
          <w:szCs w:val="26"/>
          <w:lang w:eastAsia="zh-CN" w:bidi="hi-IN"/>
        </w:rPr>
      </w:pPr>
      <w:r>
        <w:rPr>
          <w:rFonts w:eastAsia="NSimSun" w:cs="Mangal"/>
          <w:b/>
          <w:kern w:val="2"/>
          <w:sz w:val="26"/>
          <w:szCs w:val="26"/>
          <w:lang w:eastAsia="zh-CN" w:bidi="hi-IN"/>
        </w:rPr>
        <w:t>АДМИНИСТРАЦИЯ ДАЛЬНЕРЕЧЕНСКОГО МУНИЦИПАЛЬНОГО РАЙОНА</w:t>
      </w:r>
    </w:p>
    <w:p>
      <w:pPr>
        <w:pStyle w:val="Normal"/>
        <w:pBdr/>
        <w:spacing w:lineRule="auto" w:line="276" w:before="0" w:after="140"/>
        <w:jc w:val="center"/>
        <w:textAlignment w:val="baseline"/>
        <w:rPr>
          <w:rFonts w:ascii="Liberation Serif" w:hAnsi="Liberation Serif" w:eastAsia="NSimSun" w:cs="Mangal"/>
          <w:kern w:val="2"/>
          <w:sz w:val="26"/>
          <w:szCs w:val="26"/>
          <w:lang w:eastAsia="zh-CN" w:bidi="hi-IN"/>
        </w:rPr>
      </w:pPr>
      <w:r>
        <w:rPr>
          <w:rFonts w:eastAsia="NSimSun" w:cs="Mangal"/>
          <w:b/>
          <w:spacing w:val="48"/>
          <w:kern w:val="2"/>
          <w:sz w:val="26"/>
          <w:szCs w:val="26"/>
          <w:lang w:eastAsia="zh-CN" w:bidi="hi-IN"/>
        </w:rPr>
        <w:t xml:space="preserve">ПРОЕКТ </w:t>
      </w:r>
      <w:r>
        <w:rPr>
          <w:rFonts w:eastAsia="NSimSun" w:cs="Mangal"/>
          <w:b/>
          <w:spacing w:val="48"/>
          <w:kern w:val="2"/>
          <w:sz w:val="26"/>
          <w:szCs w:val="26"/>
          <w:lang w:eastAsia="zh-CN" w:bidi="hi-IN"/>
        </w:rPr>
        <w:t>ПОСТАНОВЛЕНИ</w:t>
      </w:r>
      <w:r>
        <w:rPr>
          <w:rFonts w:eastAsia="NSimSun" w:cs="Mangal"/>
          <w:b/>
          <w:spacing w:val="48"/>
          <w:kern w:val="2"/>
          <w:sz w:val="26"/>
          <w:szCs w:val="26"/>
          <w:lang w:eastAsia="zh-CN" w:bidi="hi-IN"/>
        </w:rPr>
        <w:t>Я</w:t>
      </w:r>
    </w:p>
    <w:p>
      <w:pPr>
        <w:pStyle w:val="Normal"/>
        <w:pBdr/>
        <w:tabs>
          <w:tab w:val="clear" w:pos="708"/>
          <w:tab w:val="left" w:pos="3420" w:leader="none"/>
        </w:tabs>
        <w:jc w:val="both"/>
        <w:textAlignment w:val="baseline"/>
        <w:rPr>
          <w:rFonts w:eastAsia="NSimSun" w:cs="Mang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Mangal"/>
          <w:b/>
          <w:bCs/>
          <w:kern w:val="2"/>
          <w:sz w:val="26"/>
          <w:szCs w:val="26"/>
          <w:lang w:eastAsia="zh-CN" w:bidi="hi-IN"/>
        </w:rPr>
        <w:t xml:space="preserve">                          </w:t>
      </w:r>
      <w:r>
        <w:rPr>
          <w:rFonts w:eastAsia="NSimSun" w:cs="Mangal"/>
          <w:b/>
          <w:bCs/>
          <w:kern w:val="2"/>
          <w:sz w:val="26"/>
          <w:szCs w:val="26"/>
          <w:lang w:eastAsia="zh-CN" w:bidi="hi-IN"/>
        </w:rPr>
        <w:t>г.                         г. Дальнереченск</w:t>
        <w:tab/>
        <w:tab/>
        <w:t xml:space="preserve">                            </w:t>
      </w:r>
      <w:bookmarkStart w:id="0" w:name="_GoBack"/>
      <w:bookmarkEnd w:id="0"/>
      <w:r>
        <w:rPr>
          <w:rFonts w:eastAsia="NSimSun" w:cs="Mangal"/>
          <w:b/>
          <w:bCs/>
          <w:kern w:val="2"/>
          <w:sz w:val="26"/>
          <w:szCs w:val="26"/>
          <w:lang w:eastAsia="zh-CN" w:bidi="hi-IN"/>
        </w:rPr>
        <w:t xml:space="preserve">  № -па</w:t>
      </w:r>
    </w:p>
    <w:p>
      <w:pPr>
        <w:pStyle w:val="Normal"/>
        <w:pBdr/>
        <w:tabs>
          <w:tab w:val="clear" w:pos="708"/>
          <w:tab w:val="left" w:pos="3420" w:leader="none"/>
        </w:tabs>
        <w:jc w:val="both"/>
        <w:textAlignment w:val="baseline"/>
        <w:rPr>
          <w:rFonts w:eastAsia="NSimSun" w:cs="Mangal"/>
          <w:b/>
          <w:b/>
          <w:bCs/>
          <w:kern w:val="2"/>
          <w:sz w:val="26"/>
          <w:szCs w:val="26"/>
          <w:lang w:eastAsia="zh-CN" w:bidi="hi-IN"/>
        </w:rPr>
      </w:pPr>
      <w:r>
        <w:rPr>
          <w:rFonts w:eastAsia="NSimSun" w:cs="Mangal"/>
          <w:b/>
          <w:bCs/>
          <w:kern w:val="2"/>
          <w:sz w:val="26"/>
          <w:szCs w:val="26"/>
          <w:lang w:eastAsia="zh-CN" w:bidi="hi-IN"/>
        </w:rPr>
      </w:r>
    </w:p>
    <w:p>
      <w:pPr>
        <w:pStyle w:val="Normal"/>
        <w:pBdr/>
        <w:jc w:val="center"/>
        <w:textAlignment w:val="baseline"/>
        <w:rPr>
          <w:rFonts w:ascii="Liberation Serif" w:hAnsi="Liberation Serif" w:eastAsia="NSimSun" w:cs="Mangal"/>
          <w:b/>
          <w:b/>
          <w:kern w:val="2"/>
          <w:sz w:val="26"/>
          <w:szCs w:val="26"/>
          <w:lang w:eastAsia="zh-CN" w:bidi="hi-IN"/>
        </w:rPr>
      </w:pPr>
      <w:r>
        <w:rPr>
          <w:rFonts w:eastAsia="NSimSun" w:cs="Mangal"/>
          <w:b/>
          <w:kern w:val="2"/>
          <w:sz w:val="26"/>
          <w:szCs w:val="26"/>
          <w:lang w:eastAsia="zh-CN" w:bidi="hi-IN"/>
        </w:rPr>
        <w:t>О продлении срока действия муниципальной программы</w:t>
      </w:r>
    </w:p>
    <w:p>
      <w:pPr>
        <w:pStyle w:val="Normal"/>
        <w:pBdr/>
        <w:jc w:val="center"/>
        <w:textAlignment w:val="baseline"/>
        <w:rPr>
          <w:rFonts w:ascii="Liberation Serif" w:hAnsi="Liberation Serif" w:eastAsia="NSimSun" w:cs="Mangal"/>
          <w:kern w:val="2"/>
          <w:sz w:val="26"/>
          <w:szCs w:val="26"/>
          <w:lang w:eastAsia="zh-CN" w:bidi="hi-IN"/>
        </w:rPr>
      </w:pPr>
      <w:r>
        <w:rPr>
          <w:rFonts w:eastAsia="NSimSun" w:cs="Mangal"/>
          <w:b/>
          <w:kern w:val="2"/>
          <w:sz w:val="26"/>
          <w:szCs w:val="26"/>
          <w:lang w:eastAsia="zh-CN" w:bidi="hi-IN"/>
        </w:rPr>
        <w:t xml:space="preserve"> </w:t>
      </w:r>
      <w:r>
        <w:rPr>
          <w:rFonts w:eastAsia="NSimSun"/>
          <w:b/>
          <w:bCs/>
          <w:kern w:val="2"/>
          <w:sz w:val="26"/>
          <w:szCs w:val="26"/>
          <w:lang w:eastAsia="zh-CN" w:bidi="hi-IN"/>
        </w:rPr>
        <w:t>«</w:t>
      </w:r>
      <w:r>
        <w:rPr>
          <w:rFonts w:eastAsia="NSimSun"/>
          <w:b/>
          <w:kern w:val="2"/>
          <w:sz w:val="26"/>
          <w:szCs w:val="26"/>
          <w:lang w:eastAsia="zh-CN" w:bidi="hi-IN"/>
        </w:rPr>
        <w:t>Комплексные меры противодействия злоупотреблению наркотиками и их незаконному обороту на территории Дальнереченского муниципального района на 2020-2025 годы</w:t>
      </w:r>
      <w:r>
        <w:rPr>
          <w:rFonts w:eastAsia="NSimSun"/>
          <w:b/>
          <w:bCs/>
          <w:kern w:val="2"/>
          <w:sz w:val="26"/>
          <w:szCs w:val="26"/>
          <w:lang w:eastAsia="zh-CN" w:bidi="hi-IN"/>
        </w:rPr>
        <w:t>»</w:t>
      </w:r>
      <w:r>
        <w:rPr>
          <w:rFonts w:eastAsia="NSimSun" w:cs="Mangal"/>
          <w:b/>
          <w:kern w:val="2"/>
          <w:sz w:val="26"/>
          <w:szCs w:val="26"/>
          <w:lang w:eastAsia="zh-CN" w:bidi="hi-IN"/>
        </w:rPr>
        <w:t>, на 2026 год</w:t>
      </w:r>
    </w:p>
    <w:p>
      <w:pPr>
        <w:pStyle w:val="Normal"/>
        <w:pBdr/>
        <w:ind w:firstLine="851"/>
        <w:jc w:val="both"/>
        <w:textAlignment w:val="baseline"/>
        <w:rPr>
          <w:rFonts w:eastAsia="NSimSun" w:cs="Mangal"/>
          <w:kern w:val="2"/>
          <w:sz w:val="26"/>
          <w:szCs w:val="26"/>
          <w:lang w:eastAsia="zh-CN" w:bidi="hi-IN"/>
        </w:rPr>
      </w:pPr>
      <w:r>
        <w:rPr>
          <w:rFonts w:eastAsia="NSimSun" w:cs="Mangal"/>
          <w:kern w:val="2"/>
          <w:sz w:val="26"/>
          <w:szCs w:val="26"/>
          <w:lang w:eastAsia="zh-CN" w:bidi="hi-IN"/>
        </w:rPr>
      </w:r>
    </w:p>
    <w:p>
      <w:pPr>
        <w:pStyle w:val="Normal"/>
        <w:pBdr/>
        <w:ind w:firstLine="851"/>
        <w:jc w:val="both"/>
        <w:textAlignment w:val="baseline"/>
        <w:rPr>
          <w:b/>
          <w:b/>
          <w:bCs/>
          <w:kern w:val="2"/>
          <w:sz w:val="26"/>
          <w:szCs w:val="26"/>
          <w:lang w:eastAsia="ru-RU" w:bidi="hi-IN"/>
        </w:rPr>
      </w:pPr>
      <w:r>
        <w:rPr>
          <w:bCs/>
          <w:kern w:val="2"/>
          <w:sz w:val="26"/>
          <w:szCs w:val="26"/>
          <w:lang w:eastAsia="ru-RU" w:bidi="hi-IN"/>
        </w:rPr>
        <w:t>В соответствии с постановлением администрации Дальнереченского муниципального района от 01 ноября 2019 года № 455-па «Об утверждении Порядка разработки, реализации и оценки эффективности муниципальных программ Дальнереченского муниципального района» в целях противодействия злоупотреблению наркотиками и их незаконному обороту,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pBdr/>
        <w:ind w:firstLine="851"/>
        <w:jc w:val="both"/>
        <w:textAlignment w:val="baseline"/>
        <w:rPr>
          <w:rFonts w:eastAsia="NSimSun" w:cs="Mangal"/>
          <w:kern w:val="2"/>
          <w:sz w:val="26"/>
          <w:szCs w:val="26"/>
          <w:lang w:eastAsia="zh-CN" w:bidi="hi-IN"/>
        </w:rPr>
      </w:pPr>
      <w:r>
        <w:rPr>
          <w:rFonts w:eastAsia="NSimSun" w:cs="Mangal"/>
          <w:kern w:val="2"/>
          <w:sz w:val="26"/>
          <w:szCs w:val="26"/>
          <w:lang w:eastAsia="zh-CN" w:bidi="hi-IN"/>
        </w:rPr>
      </w:r>
    </w:p>
    <w:p>
      <w:pPr>
        <w:pStyle w:val="Normal"/>
        <w:pBdr/>
        <w:ind w:firstLine="851"/>
        <w:jc w:val="both"/>
        <w:textAlignment w:val="baseline"/>
        <w:rPr>
          <w:rFonts w:ascii="Liberation Serif" w:hAnsi="Liberation Serif" w:eastAsia="NSimSun" w:cs="Mangal"/>
          <w:kern w:val="2"/>
          <w:sz w:val="26"/>
          <w:szCs w:val="26"/>
          <w:lang w:eastAsia="zh-CN" w:bidi="hi-IN"/>
        </w:rPr>
      </w:pPr>
      <w:r>
        <w:rPr>
          <w:rFonts w:eastAsia="NSimSun" w:cs="Mangal"/>
          <w:kern w:val="2"/>
          <w:sz w:val="26"/>
          <w:szCs w:val="26"/>
          <w:lang w:eastAsia="zh-CN" w:bidi="hi-IN"/>
        </w:rPr>
        <w:t>ПОСТАНОВЛЯЕТ:</w:t>
      </w:r>
    </w:p>
    <w:p>
      <w:pPr>
        <w:pStyle w:val="Normal"/>
        <w:pBdr/>
        <w:ind w:firstLine="851"/>
        <w:jc w:val="both"/>
        <w:textAlignment w:val="baseline"/>
        <w:rPr>
          <w:rFonts w:eastAsia="NSimSun" w:cs="Mangal"/>
          <w:kern w:val="2"/>
          <w:sz w:val="26"/>
          <w:szCs w:val="26"/>
          <w:lang w:eastAsia="zh-CN" w:bidi="hi-IN"/>
        </w:rPr>
      </w:pPr>
      <w:r>
        <w:rPr>
          <w:rFonts w:eastAsia="NSimSun" w:cs="Mangal"/>
          <w:kern w:val="2"/>
          <w:sz w:val="26"/>
          <w:szCs w:val="26"/>
          <w:lang w:eastAsia="zh-CN" w:bidi="hi-IN"/>
        </w:rPr>
      </w:r>
    </w:p>
    <w:p>
      <w:pPr>
        <w:pStyle w:val="Normal"/>
        <w:pBdr/>
        <w:ind w:firstLine="851"/>
        <w:jc w:val="both"/>
        <w:textAlignment w:val="baseline"/>
        <w:rPr>
          <w:rFonts w:ascii="Liberation Serif" w:hAnsi="Liberation Serif" w:eastAsia="NSimSun" w:cs="Mangal"/>
          <w:kern w:val="2"/>
          <w:sz w:val="26"/>
          <w:szCs w:val="26"/>
          <w:lang w:eastAsia="zh-CN" w:bidi="hi-IN"/>
        </w:rPr>
      </w:pPr>
      <w:r>
        <w:rPr>
          <w:rFonts w:eastAsia="NSimSun" w:cs="Mangal"/>
          <w:kern w:val="2"/>
          <w:sz w:val="26"/>
          <w:szCs w:val="26"/>
          <w:lang w:eastAsia="zh-CN" w:bidi="hi-IN"/>
        </w:rPr>
        <w:t xml:space="preserve"> </w:t>
      </w:r>
      <w:r>
        <w:rPr>
          <w:rFonts w:eastAsia="NSimSun" w:cs="Mangal"/>
          <w:kern w:val="2"/>
          <w:sz w:val="26"/>
          <w:szCs w:val="26"/>
          <w:lang w:eastAsia="zh-CN" w:bidi="hi-IN"/>
        </w:rPr>
        <w:t xml:space="preserve">1. Продлить срок действия муниципальной программы </w:t>
      </w:r>
      <w:r>
        <w:rPr>
          <w:rFonts w:eastAsia="NSimSun"/>
          <w:kern w:val="2"/>
          <w:sz w:val="26"/>
          <w:szCs w:val="26"/>
          <w:lang w:eastAsia="zh-CN" w:bidi="hi-IN"/>
        </w:rPr>
        <w:t>«Комплексные меры противодействия злоупотреблению наркотиками и их незаконному обороту на территории Дальнереченского муниципального района на 2020-2025 годы»</w:t>
      </w:r>
      <w:r>
        <w:rPr>
          <w:rFonts w:eastAsia="NSimSun" w:cs="Mangal"/>
          <w:kern w:val="2"/>
          <w:sz w:val="26"/>
          <w:szCs w:val="26"/>
          <w:lang w:eastAsia="zh-CN" w:bidi="hi-IN"/>
        </w:rPr>
        <w:t xml:space="preserve">, </w:t>
      </w:r>
      <w:r>
        <w:rPr>
          <w:rFonts w:eastAsia="NSimSun"/>
          <w:kern w:val="2"/>
          <w:sz w:val="26"/>
          <w:szCs w:val="26"/>
          <w:lang w:eastAsia="zh-CN" w:bidi="hi-IN"/>
        </w:rPr>
        <w:t xml:space="preserve">утвержденной постановлением администрации Дальнереченского муниципального район от </w:t>
      </w:r>
      <w:r>
        <w:rPr>
          <w:rFonts w:eastAsia="NSimSun"/>
          <w:color w:val="1A1A1A"/>
          <w:kern w:val="2"/>
          <w:sz w:val="26"/>
          <w:szCs w:val="26"/>
          <w:shd w:fill="FFFFFF" w:val="clear"/>
          <w:lang w:eastAsia="zh-CN" w:bidi="hi-IN"/>
        </w:rPr>
        <w:t>03.11.2017 г. № 545-па</w:t>
      </w:r>
      <w:r>
        <w:rPr>
          <w:rFonts w:eastAsia="NSimSun"/>
          <w:kern w:val="2"/>
          <w:sz w:val="26"/>
          <w:szCs w:val="26"/>
          <w:lang w:eastAsia="zh-CN" w:bidi="hi-IN"/>
        </w:rPr>
        <w:t xml:space="preserve"> (далее</w:t>
      </w:r>
      <w:r>
        <w:rPr>
          <w:rFonts w:eastAsia="NSimSun" w:cs="Mangal"/>
          <w:kern w:val="2"/>
          <w:sz w:val="26"/>
          <w:szCs w:val="26"/>
          <w:lang w:eastAsia="zh-CN" w:bidi="hi-IN"/>
        </w:rPr>
        <w:t xml:space="preserve"> – Программа, Постановление), на 2026 год и изложить текст Программы в соответствии с приложением к настоящему постановлению.</w:t>
      </w:r>
    </w:p>
    <w:p>
      <w:pPr>
        <w:pStyle w:val="Normal"/>
        <w:pBdr/>
        <w:ind w:firstLine="851"/>
        <w:jc w:val="both"/>
        <w:textAlignment w:val="baseline"/>
        <w:rPr>
          <w:rFonts w:ascii="Liberation Serif" w:hAnsi="Liberation Serif" w:eastAsia="NSimSun" w:cs="Mangal"/>
          <w:kern w:val="2"/>
          <w:sz w:val="26"/>
          <w:szCs w:val="26"/>
          <w:lang w:eastAsia="zh-CN" w:bidi="hi-IN"/>
        </w:rPr>
      </w:pPr>
      <w:r>
        <w:rPr>
          <w:rFonts w:eastAsia="NSimSun" w:cs="Mangal"/>
          <w:kern w:val="2"/>
          <w:sz w:val="26"/>
          <w:szCs w:val="26"/>
          <w:lang w:eastAsia="zh-CN" w:bidi="hi-IN"/>
        </w:rPr>
        <w:t>2.Управлению финансов администрации Дальнереченского муниципального района предусмотреть финансирование мероприятий Программы при формировании проекта бюджета Дальнереченского муниципального района на 2024-2026 годы.</w:t>
      </w:r>
    </w:p>
    <w:p>
      <w:pPr>
        <w:pStyle w:val="Normal"/>
        <w:pBdr/>
        <w:ind w:firstLine="851"/>
        <w:jc w:val="both"/>
        <w:textAlignment w:val="baseline"/>
        <w:rPr>
          <w:rFonts w:ascii="Liberation Serif" w:hAnsi="Liberation Serif" w:eastAsia="NSimSun" w:cs="Mangal"/>
          <w:kern w:val="2"/>
          <w:sz w:val="26"/>
          <w:szCs w:val="26"/>
          <w:lang w:eastAsia="zh-CN" w:bidi="hi-IN"/>
        </w:rPr>
      </w:pPr>
      <w:r>
        <w:rPr>
          <w:rFonts w:eastAsia="NSimSun" w:cs="Mangal"/>
          <w:kern w:val="2"/>
          <w:sz w:val="26"/>
          <w:szCs w:val="26"/>
          <w:lang w:eastAsia="zh-CN" w:bidi="hi-IN"/>
        </w:rPr>
        <w:t>3.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pBdr/>
        <w:ind w:firstLine="851"/>
        <w:jc w:val="both"/>
        <w:textAlignment w:val="baseline"/>
        <w:rPr>
          <w:rFonts w:ascii="Liberation Serif" w:hAnsi="Liberation Serif" w:eastAsia="NSimSun" w:cs="Mangal"/>
          <w:kern w:val="2"/>
          <w:sz w:val="26"/>
          <w:szCs w:val="26"/>
          <w:lang w:eastAsia="zh-CN" w:bidi="hi-IN"/>
        </w:rPr>
      </w:pPr>
      <w:r>
        <w:rPr>
          <w:rFonts w:eastAsia="NSimSun" w:cs="Mangal"/>
          <w:kern w:val="2"/>
          <w:sz w:val="26"/>
          <w:szCs w:val="26"/>
          <w:lang w:eastAsia="zh-CN" w:bidi="hi-IN"/>
        </w:rPr>
        <w:t>4. Настоящее постановление вступает в силу со дня его обнародования в установленном порядке.</w:t>
      </w:r>
    </w:p>
    <w:p>
      <w:pPr>
        <w:pStyle w:val="Normal"/>
        <w:pBdr/>
        <w:ind w:firstLine="709"/>
        <w:jc w:val="both"/>
        <w:textAlignment w:val="baseline"/>
        <w:rPr>
          <w:rFonts w:eastAsia="NSimSun" w:cs="Mangal"/>
          <w:kern w:val="2"/>
          <w:sz w:val="26"/>
          <w:szCs w:val="26"/>
          <w:lang w:eastAsia="zh-CN" w:bidi="hi-IN"/>
        </w:rPr>
      </w:pPr>
      <w:r>
        <w:rPr>
          <w:rFonts w:eastAsia="NSimSun" w:cs="Mangal"/>
          <w:kern w:val="2"/>
          <w:sz w:val="26"/>
          <w:szCs w:val="26"/>
          <w:lang w:eastAsia="zh-CN" w:bidi="hi-IN"/>
        </w:rPr>
      </w:r>
    </w:p>
    <w:p>
      <w:pPr>
        <w:pStyle w:val="Normal"/>
        <w:pBdr/>
        <w:ind w:firstLine="709"/>
        <w:jc w:val="both"/>
        <w:textAlignment w:val="baseline"/>
        <w:rPr>
          <w:rFonts w:eastAsia="NSimSun" w:cs="Mangal"/>
          <w:kern w:val="2"/>
          <w:sz w:val="26"/>
          <w:szCs w:val="26"/>
          <w:lang w:eastAsia="zh-CN" w:bidi="hi-IN"/>
        </w:rPr>
      </w:pPr>
      <w:r>
        <w:rPr>
          <w:rFonts w:eastAsia="NSimSun" w:cs="Mangal"/>
          <w:kern w:val="2"/>
          <w:sz w:val="26"/>
          <w:szCs w:val="26"/>
          <w:lang w:eastAsia="zh-CN" w:bidi="hi-IN"/>
        </w:rPr>
      </w:r>
    </w:p>
    <w:p>
      <w:pPr>
        <w:pStyle w:val="Normal"/>
        <w:pBdr/>
        <w:jc w:val="both"/>
        <w:textAlignment w:val="baseline"/>
        <w:rPr>
          <w:rFonts w:ascii="Liberation Serif" w:hAnsi="Liberation Serif" w:eastAsia="NSimSun" w:cs="Mangal"/>
          <w:kern w:val="2"/>
          <w:sz w:val="26"/>
          <w:szCs w:val="26"/>
          <w:lang w:eastAsia="zh-CN" w:bidi="hi-IN"/>
        </w:rPr>
      </w:pPr>
      <w:r>
        <w:rPr>
          <w:rFonts w:eastAsia="NSimSun" w:cs="Mangal"/>
          <w:kern w:val="2"/>
          <w:sz w:val="26"/>
          <w:szCs w:val="26"/>
          <w:lang w:eastAsia="zh-CN" w:bidi="hi-IN"/>
        </w:rPr>
        <w:t>Глава Дальнереченского</w:t>
      </w:r>
    </w:p>
    <w:p>
      <w:pPr>
        <w:pStyle w:val="Normal"/>
        <w:pBdr/>
        <w:jc w:val="both"/>
        <w:textAlignment w:val="baseline"/>
        <w:rPr>
          <w:rFonts w:ascii="Liberation Serif" w:hAnsi="Liberation Serif" w:eastAsia="NSimSun" w:cs="Mangal"/>
          <w:kern w:val="2"/>
          <w:sz w:val="24"/>
          <w:szCs w:val="24"/>
          <w:lang w:eastAsia="zh-CN" w:bidi="hi-IN"/>
        </w:rPr>
      </w:pPr>
      <w:r>
        <w:rPr>
          <w:rFonts w:eastAsia="NSimSun" w:cs="Mangal"/>
          <w:kern w:val="2"/>
          <w:sz w:val="26"/>
          <w:szCs w:val="26"/>
          <w:lang w:eastAsia="zh-CN" w:bidi="hi-IN"/>
        </w:rPr>
        <w:t>муниципального района                                                                           В.С. Дернов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ind w:right="-340" w:hang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</w:t>
      </w:r>
    </w:p>
    <w:p>
      <w:pPr>
        <w:pStyle w:val="Normal"/>
        <w:ind w:right="-340" w:hanging="0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</w:t>
      </w:r>
    </w:p>
    <w:p>
      <w:pPr>
        <w:pStyle w:val="Normal"/>
        <w:ind w:right="-340" w:hang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Дальнереченского муниципального района </w:t>
      </w:r>
    </w:p>
    <w:p>
      <w:pPr>
        <w:pStyle w:val="Normal"/>
        <w:ind w:right="-340" w:hanging="0"/>
        <w:jc w:val="right"/>
        <w:rPr>
          <w:sz w:val="22"/>
          <w:szCs w:val="22"/>
        </w:rPr>
      </w:pPr>
      <w:r>
        <w:rPr>
          <w:sz w:val="22"/>
          <w:szCs w:val="22"/>
        </w:rPr>
        <w:t>от            № -па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ab/>
        <w:tab/>
        <w:tab/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  <w:t>МУНИЦИПАЛЬНАЯ ПРОГРАММА</w:t>
      </w:r>
    </w:p>
    <w:p>
      <w:pPr>
        <w:pStyle w:val="Normal"/>
        <w:jc w:val="center"/>
        <w:rPr>
          <w:b/>
          <w:b/>
          <w:sz w:val="32"/>
          <w:szCs w:val="28"/>
        </w:rPr>
      </w:pPr>
      <w:r>
        <w:rPr>
          <w:b/>
          <w:szCs w:val="26"/>
        </w:rPr>
        <w:tab/>
        <w:t xml:space="preserve">«Комплексные меры противодействия злоупотреблению наркотиками и их незаконному обороту на территории Дальнереченского муниципального района на 2020-2026 годы»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ПАСПОРТ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</w:rPr>
        <w:t xml:space="preserve">Муниципальной программы </w:t>
      </w:r>
      <w:r>
        <w:rPr>
          <w:b/>
          <w:szCs w:val="28"/>
        </w:rPr>
        <w:t>«</w:t>
      </w:r>
      <w:r>
        <w:rPr>
          <w:rFonts w:eastAsia="MS Mincho"/>
          <w:b/>
          <w:szCs w:val="28"/>
        </w:rPr>
        <w:t xml:space="preserve">Комплексные меры противодействия злоупотреблению наркотиками и их незаконному обороту </w:t>
      </w:r>
      <w:r>
        <w:rPr>
          <w:b/>
          <w:szCs w:val="28"/>
        </w:rPr>
        <w:t>на территории Дальнереченского муниципального района на 2020-2026 годы»</w:t>
      </w:r>
    </w:p>
    <w:tbl>
      <w:tblPr>
        <w:tblW w:w="10207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872"/>
        <w:gridCol w:w="7334"/>
      </w:tblGrid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tabs>
                <w:tab w:val="left" w:pos="708" w:leader="none"/>
                <w:tab w:val="center" w:pos="4677" w:leader="none"/>
                <w:tab w:val="right" w:pos="9355" w:leader="none"/>
              </w:tabs>
              <w:rPr/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5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 на территории Дальнереченского муниципального района на 2020-2026 годы» (далее - Программа).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Постановление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</w:t>
            </w:r>
            <w:r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2"/>
                <w:szCs w:val="26"/>
              </w:rPr>
              <w:t>Постановление администрации Дальнереченского муниципального района от 24.06.2023 № 319-па «Об утверждении перечня муниципальных программ».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</w:t>
            </w:r>
          </w:p>
        </w:tc>
      </w:tr>
      <w:tr>
        <w:trPr>
          <w:trHeight w:val="60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 xml:space="preserve">Муниципальное казенное учреждение «Районный информационно-досуговый центр» Дальнереченского муниципального района </w:t>
            </w:r>
          </w:p>
        </w:tc>
      </w:tr>
      <w:tr>
        <w:trPr>
          <w:trHeight w:val="488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>Администрация  Дальнереченского  муниципального  района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Соисполнители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«Районный информационно-досуговый центр» Дальнереченского муниципального района; Муниципальное казенное учреждение «Управление народного образования» Дальнереченского муниципального района.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Участники Программы</w:t>
            </w:r>
          </w:p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отделение по контролю за оборотом наркотиков МО МВД «Дальнереченский»; КГБУЗ «Дальнереченская ЦГБ».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>Координатор разработки Программы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Не предусмотрены.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Цели Программы: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Программы: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Стабилизация и сокращение распространения наркомании и связанных с ней преступлений и правонарушений.</w:t>
            </w:r>
          </w:p>
          <w:p>
            <w:pPr>
              <w:pStyle w:val="Normal"/>
              <w:widowControl w:val="false"/>
              <w:ind w:firstLine="3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достижения поставленной цели необходимо решение ряда задач: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firstLine="3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распространения наркомании и связанных с ней правонарушений;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firstLine="394"/>
              <w:jc w:val="both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противодействие незаконному обороту наркотических средств и психотропных веществ.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зарегистрированных (выявленных) тяжких и особо тяжких преступлений в сфере незаконного оборота наркотиков (в процентах);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 (в процентах);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 подростков и молодежи в возрасте от 11 до 24 лет, вовлеченных в профилактические мероприятия, по отношению к общей численности лиц указанной категории (в процентах);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потребляющих наркотики лиц, выявленных в рамках медицинских обследований, связанных с призывом в армию, в общем количестве обследованных.</w:t>
            </w:r>
          </w:p>
        </w:tc>
      </w:tr>
      <w:tr>
        <w:trPr>
          <w:trHeight w:val="360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2020 – 2026 годы, этапы реализации не предусмотрены.</w:t>
            </w:r>
          </w:p>
          <w:p>
            <w:pPr>
              <w:pStyle w:val="Normal"/>
              <w:widowControl w:val="false"/>
              <w:ind w:firstLine="175"/>
              <w:rPr/>
            </w:pPr>
            <w:r>
              <w:rPr/>
            </w:r>
          </w:p>
        </w:tc>
      </w:tr>
      <w:tr>
        <w:trPr>
          <w:trHeight w:val="73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Программы из местного и краевого бюджетов  составит 293 698,00 рублей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том числе распределение объемов финансирования по годам:</w:t>
            </w:r>
          </w:p>
          <w:tbl>
            <w:tblPr>
              <w:tblW w:w="805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139"/>
              <w:gridCol w:w="2040"/>
              <w:gridCol w:w="2146"/>
              <w:gridCol w:w="2724"/>
            </w:tblGrid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/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Всего: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/>
                  </w:pPr>
                  <w:r>
                    <w:rPr>
                      <w:sz w:val="22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2020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30 000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30 000 рублей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2021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71 798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71 798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2022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50 900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50 900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>2023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60 500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60 500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2025 г. -  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</w:rPr>
                    <w:t xml:space="preserve">2026 г. -               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60 500 рублей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10 000 рублей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10 000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60 500 рублей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10 000 рублей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>
                      <w:sz w:val="22"/>
                      <w:szCs w:val="22"/>
                    </w:rPr>
                    <w:t>10 000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>-</w:t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 xml:space="preserve">        </w:t>
                  </w:r>
                  <w:r>
                    <w:rPr/>
                    <w:t>-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</w:rPr>
                  </w:pPr>
                  <w:r>
                    <w:rPr/>
                    <w:t xml:space="preserve">        </w:t>
                  </w:r>
                  <w:r>
                    <w:rPr/>
                    <w:t>-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55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2"/>
              </w:rPr>
            </w:pPr>
            <w:r>
              <w:rPr>
                <w:sz w:val="22"/>
              </w:rPr>
              <w:t>- увеличить долю зарегистрированных (выявленных) тяжких и особо тяжких преступлений в количестве зарегистрированных преступлений в сфере незаконного оборота наркотиков;</w:t>
            </w:r>
          </w:p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</w:rPr>
              <w:t>- увеличить до 5% доли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лечение;</w:t>
            </w:r>
          </w:p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sz w:val="22"/>
              </w:rPr>
              <w:t>- охватить профилактическими мероприятиями 93% подростков и молодежи в возрасте от 11 до 24 лет;</w:t>
            </w:r>
          </w:p>
          <w:p>
            <w:pPr>
              <w:pStyle w:val="Normal"/>
              <w:widowControl w:val="false"/>
              <w:jc w:val="both"/>
              <w:rPr>
                <w:sz w:val="12"/>
                <w:szCs w:val="12"/>
              </w:rPr>
            </w:pPr>
            <w:r>
              <w:rPr>
                <w:sz w:val="22"/>
              </w:rPr>
              <w:t>- повысить до 1% выявляемости лиц, потребляющих наркотики от общего количества обследованных по результатам медицинских обследований, связанных с призывом в армию.</w:t>
            </w:r>
          </w:p>
        </w:tc>
      </w:tr>
      <w:tr>
        <w:trPr>
          <w:trHeight w:val="2244" w:hRule="atLeast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/>
            </w:pPr>
            <w:r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Общий контроль за выполнением Программы осуществляет заказчик Программы.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Мониторинг и контроль за реализацией по выполнению мероприятий Программы – Муниципальное казенное учреждение «Районный информационно-досуговый центр» Дальнереченского муниципального района.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Ежеквартально и ежегодно составляется - сводный отчет по установленной форме.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jc w:val="both"/>
              <w:rPr/>
            </w:pPr>
            <w:r>
              <w:rPr>
                <w:sz w:val="22"/>
                <w:szCs w:val="22"/>
              </w:rPr>
              <w:t>Освещение вопросов наркомании и незаконному в СМИ и на официальном сайте администрации Дальнереченского муниципального района в сети Интернет.</w:t>
            </w:r>
          </w:p>
        </w:tc>
      </w:tr>
    </w:tbl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1. Общие положения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Объектом регулирования программными методами является система управления с целью сокращения распространения наркомании и связанных с ней преступлений и правонарушений.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Предмет регулирования - общественные отношения в части противодействия незаконному обороту наркотических средств и психотропных веществ, внедрение новых методов и средств лечения, а также медицинской и социально-психологической реабилитации лиц, больных наркоманией.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Сфера действия программы – осуществление мероприятий, направленных на профилактическую работу с населением района, на сокращение распространения наркомании и связанных с ней преступлений и правонарушений. 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0"/>
        <w:rPr>
          <w:b/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Понятия, используемые в программе: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антинаркотическая пропаганда – пропаганда здорового образа жизни, том числе физической культуры и спорта, направленная на формирование в обществе негативного отношения к наркомании;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больной наркоманией - лицо, которому по результатам медицинского освидетельствования, проведенного в соответствии с федеральным законодательством, поставлен диагноз «наркомания»;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ввоз (вывоз) наркотических средств, психотропных веществ и их прекурсоров (далее – ввоз (вывоз)) - перемещение наркотических средств, психотропных веществ и их прекурсоров с таможенной территории другого государства на таможенную территорию Российской Федерации или с таможенной территории Российской Федерации на таможенную территорию другого государства;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изготовление наркотических средств, психотропных веществ - действия, в результате которых на основе наркотических средств, психотропных веществ или их прекурсоров получены готовые к использованию и потреблению формы наркотических средств, психотропных веществ или содержащие их лекарственные средства;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 наркомания - заболевание, обусловленное зависимостью от наркотического средства или психотропного вещества;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наркотические средства – вещества синтетического или естественного происхождения, препараты, растения,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договорами, в том числе Единой конвенцией о наркотических средствах 1961 года;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 незаконное потребление наркотических средств или психотропных веществ - потребление наркотических средств или психотропных веществ без назначения врача;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8) незаконный оборот наркотических средств, психотропных веществ и их прекурсоров - оборот наркотических средств, психотропных веществ и их прекурсоров, осуществляемый в нарушение законодательства Российской Федерации;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9) оборот наркотических средств, психотропных веществ и их прекурсоров - культивирование растений,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таможенную территорию Российской Федерации, вывоз с таможенной территории Российской Федерации, уничтожение наркотических средств, психотропных веществ и их прекурсоров, разрешенные и контролируемые в соответствии с законодательством Российской Федерации;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10) переработка наркотических средств, психотропных веществ - действия, в результате которых происходят рафинирование (очистка от посторонних примесей), повышение в препарате концентрации наркотических средств или психотропных веществ, а также получение на основе одних наркотических средств или психотропных веществ других наркотических средств или психотропных веществ либо получение веществ, не являющихся наркотическими средствами или психотропными веществами;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11) прекурсоры наркотических средств и психотропных веществ (далее – прекурсоры) –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договорами,  в том числе Конвенцией Организации Объединенных Наций о борьбе против незаконного оборота наркотических средств и психотропных веществ 1988 года;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12) производство наркотических средств, психотропных веществ - действия, направленные на серийное получение наркотических средств или психотропных веществ из химических веществ и (или) растений;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13) профилактика наркомании –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наркомании;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психотропные вещества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договорами, в том числе Конвенцией о психотропных веществах 1971 года. </w:t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2. Характеристика текущего состояния и прогноз развития соответствующей </w:t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сферы реализации муниципальной программы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 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Наркотики оказывают глубокое воздействие на жизнь отдельных людей и общества в целом. Они ставят под угрозу здоровье, образ жизни и безопасность населения. Демографические последствия наркозависимости становятся всё более угрожающими. Среди потребляющих наркотики увеличивается доля малолетнего населения.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Наркологическая ситуация на территории Дальнереченского муниципального района характеризуется стабильностью определенных негативных тенденций в сфере незаконного потребления наркотических средств и прочих видов психоактивных веществ (далее – ПАВ).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Это представляет собой не только медицинскую проблему, связанную с реальной угрозой здоровья населения (в основном подросткового и молодежного сегмента), но и социально – правовую, влияющую на положения дел в экономике, на уровень правопорядка в районе.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Целый ряд факторов влияет на неблагоприятную наркологическую ситуацию на территории района, в котором географически произрастает дикая конопля, низкая занятость сельского населения, условия местности позволяют вовлекать сельское население в незаконное культивирование конопли и производство из нее наркотиков канабисной группы. 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Немаловажным моментом является топографическая «спаянность» с городом Дальнереченском, у которого показатель по учтенной распространенности больных наркоманией и употребляющих наркотики, выше среднего по краю, что является фактором «социальной заразности» для населения Дальнереченского муниципального района. 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2021 году администрацией Дальнереченского муниципального района были приняты нормативно правовые акты, регламентирующие комплексное решение вышеуказанных проблем (постановление АДМР от 11.03.2021 г. № 107-па «Перечень приоритетных направлений по реализации Стратегии антинаркотической политики Российской Федерации на период до 2030 года на территории Дальнереченского муниципального района в 2021-2030 годах»).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вышеуказанного нормативно правового акта на территории района оказало положительное влияние на общую ситуацию, связанную с противодействием распространения незаконного употребления наркотических средств и иных видов ПАВ.</w:t>
      </w:r>
    </w:p>
    <w:p>
      <w:pPr>
        <w:pStyle w:val="Normal"/>
        <w:widowControl w:val="false"/>
        <w:ind w:firstLine="567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>В рамках реализации мероприятий в рамках Перечня приоритетных направлений по реализации Стратегии антинаркотической политики Российской Федерации на период до 2030 года на территории Дальнереченского муниципального района в 2021-2022 годах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 территории района проводилась активная профилактическая работа с населением, особый акцент внимания в информационно - разъяснительной работе обращается на подростково – молодежный контингент.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Профилактическая работа строится по следующим направлениям.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постоянной антинаркотической пропаганды среди учащихся школ и молодежи. В систему мероприятий данного направления работы входят выступления врача психиатра – нарколога с лекциями. Кроме того, проводятся беседы, организуются дискуссии в малых группах с подростками категории «группы риска».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 данных бесед – предоставление информации о негативных последствиях употребления ПАВ. Так в школах района в течении учебного года проводятся лекции для учащихся.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независимой газете «Ударный фронт» публикуются статьи о проблемах связанных с потреблением ПАВ. 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Стало традиционным проведение классных часов в учебных заведениях района на тему вреда наркотиков.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 же, врачи психиатры – наркологи принимают активное участие в работе КДН и ЗП района, где проводятся индивидуальные беседы с подростками, детьми и их родителями при совершении правонарушений в состоянии алкогольного либо наркотического опьянения.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каждому конкретному случаю принимается решение о необходимости дальнейших мероприятий: профилактическое наблюдение наркологической службой, лечение.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Врачи принимают участие при патронаже неблагополучных семей. Важно то, что эти мероприятия проводятся при совместном участии и контроле представителей органов образования, здравоохранения и МВД.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Врачи – наркологи принимают участие в медосмотре школьников, работают в военкомате.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целью более доказательного выявления граждан, потребляющих наркотики, приобретаются тест-полоски для иммунохроматографического определения наркотиков в биосредах, тем самым создана материально обеспеченная база для проведения освидетельствования на состояние наркотического.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Несмотря на наметившиеся положительные тенденции, на территории района состояние с наркопотреблением остается сложной. 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сожалению, не приносят запланированных ожидаемых результатов мероприятия по лечению и медико – социальной реабилитации больных наркоманией.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 этим необходимо дальнейшее использование комплекса межведомственных мероприятий, программно – целевого характера, что позволит проведение единой политики по устранению причин и условий, способствующих незаконному распространению и потреблению наркотических средств.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Это позволит мобилизовать ресурсные возможности и сконцентрировать общие усилия на приоритетных направлениях проблемы: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выявление, диагностика, лечение, медико – социальная и психологическая реабилитация лиц, больных наркоманией;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профилактика распространения наркомании и зависимости от иных видов ПАВ.      </w:t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 Цели и задачи Программы.</w:t>
      </w:r>
    </w:p>
    <w:p>
      <w:pPr>
        <w:pStyle w:val="Normal"/>
        <w:suppressAutoHyphens w:val="false"/>
        <w:spacing w:lineRule="atLeast" w:line="100"/>
        <w:ind w:firstLine="567"/>
        <w:jc w:val="both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правонарушений, связанных с употреблением и распространением наркотических и психотропных веществ.</w:t>
      </w:r>
    </w:p>
    <w:p>
      <w:pPr>
        <w:pStyle w:val="Normal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достижения поставленной цели необходимо решение следующих задач:</w:t>
      </w:r>
    </w:p>
    <w:p>
      <w:pPr>
        <w:pStyle w:val="Normal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проведение профилактических мероприятий по сокращению незаконного потребления наркотиков;</w:t>
      </w:r>
    </w:p>
    <w:p>
      <w:pPr>
        <w:pStyle w:val="Normal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ограничение доступности наркотиков, находящихся в незаконном обороте;</w:t>
      </w:r>
    </w:p>
    <w:p>
      <w:pPr>
        <w:pStyle w:val="Normal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и безопасного образа жизни, формирование у молодежи антинаркотических установок;</w:t>
      </w:r>
    </w:p>
    <w:p>
      <w:pPr>
        <w:pStyle w:val="Normal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ежегодное проведение комплексного мониторинга наркоситуации на территории Дальнереченского муниципального района;</w:t>
      </w:r>
      <w:r>
        <w:rPr>
          <w:b/>
          <w:bCs/>
          <w:color w:val="000000"/>
          <w:sz w:val="26"/>
          <w:szCs w:val="26"/>
        </w:rPr>
        <w:t xml:space="preserve"> </w:t>
      </w:r>
    </w:p>
    <w:p>
      <w:pPr>
        <w:pStyle w:val="Normal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концентрация усилий правоохранительных органов на борьбу с наиболее опасными формами незаконного оборота наркотиков;</w:t>
      </w:r>
    </w:p>
    <w:p>
      <w:pPr>
        <w:pStyle w:val="Normal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альтернативного поведения подростков, массовое внедрение физической культуры, спорта.</w:t>
      </w:r>
    </w:p>
    <w:p>
      <w:pPr>
        <w:pStyle w:val="Normal"/>
        <w:ind w:firstLine="567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="0" w:after="0"/>
        <w:ind w:firstLine="567"/>
        <w:contextualSpacing/>
        <w:jc w:val="center"/>
        <w:outlineLvl w:val="2"/>
        <w:rPr>
          <w:rFonts w:eastAsia="Calibri"/>
          <w:b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4. Целевые индикаторы и показатели муниципальной программы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  <w:tab w:val="left" w:pos="2730" w:leader="none"/>
        </w:tabs>
        <w:suppressAutoHyphens w:val="false"/>
        <w:ind w:firstLine="567"/>
        <w:jc w:val="both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Целевыми индикаторами муниципальной программы, характеризующими достижение её цели, являются:</w:t>
      </w:r>
    </w:p>
    <w:tbl>
      <w:tblPr>
        <w:tblW w:w="1088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25"/>
        <w:gridCol w:w="3374"/>
        <w:gridCol w:w="991"/>
        <w:gridCol w:w="992"/>
        <w:gridCol w:w="993"/>
        <w:gridCol w:w="1133"/>
        <w:gridCol w:w="993"/>
        <w:gridCol w:w="993"/>
        <w:gridCol w:w="991"/>
      </w:tblGrid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прогноз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зарегистрированных (выявленных) тяжких и особо тяжких преступлений в количестве зарегистрированных преступлений в сфере незаконного оборота наркотиков (в процентах)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 (в процентах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 93% доли подростков и молодежи в возрасте от 11 до 24 лет, вовлеченных в профилактические мероприятия, по отношению к общей численности лиц указанной категории (в процентах)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потребляющих наркотики лиц, выявленных в рамках медицинских обследований, связанных с призывом в армию, в общем количестве обследованных.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>
      <w:pPr>
        <w:pStyle w:val="Normal"/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5. Этапы и сроки и реализации Программы.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реализуются с 2020 по 2026 годы, с ежегодной корректировкой мероприятий.</w:t>
      </w:r>
    </w:p>
    <w:p>
      <w:pPr>
        <w:pStyle w:val="Normal"/>
        <w:ind w:firstLine="567"/>
        <w:jc w:val="center"/>
        <w:rPr>
          <w:rStyle w:val="Strong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6. Перечень основных мероприятий Программы.</w:t>
      </w:r>
    </w:p>
    <w:p>
      <w:pPr>
        <w:pStyle w:val="Normal"/>
        <w:ind w:firstLine="567"/>
        <w:jc w:val="both"/>
        <w:rPr>
          <w:rStyle w:val="Strong"/>
          <w:b w:val="false"/>
          <w:b w:val="false"/>
          <w:sz w:val="26"/>
          <w:szCs w:val="26"/>
        </w:rPr>
      </w:pPr>
      <w:r>
        <w:rPr>
          <w:rStyle w:val="Strong"/>
          <w:b w:val="false"/>
          <w:sz w:val="26"/>
          <w:szCs w:val="26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деятельности: (Приложение № 1).</w:t>
      </w:r>
    </w:p>
    <w:p>
      <w:pPr>
        <w:pStyle w:val="Normal"/>
        <w:ind w:firstLine="567"/>
        <w:jc w:val="both"/>
        <w:rPr>
          <w:rStyle w:val="Strong"/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7. Механизм реализации Программы.</w:t>
      </w:r>
    </w:p>
    <w:p>
      <w:pPr>
        <w:pStyle w:val="Normal"/>
        <w:ind w:firstLine="567"/>
        <w:jc w:val="both"/>
        <w:rPr>
          <w:sz w:val="26"/>
          <w:szCs w:val="26"/>
        </w:rPr>
      </w:pPr>
      <w:bookmarkStart w:id="1" w:name="_Toc18387603"/>
      <w:r>
        <w:rPr>
          <w:sz w:val="26"/>
          <w:szCs w:val="26"/>
        </w:rPr>
        <w:t>1. Профилактика злоупотребления наркотиками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Профилактика злоупотребления наркотиками заключается в пропаганде здорового образа жизни, разработке и тиражировании учебно-методической литературы и реализации программ, мероприятий, направленных на предотвращение употребления наркотиков молодежью и несовершеннолетними.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Программой предусматривается: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комплексных методов профилактической работы для каждой социальной и возрастной групп;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сосредоточение усилий учреждений системы образования и их специалистов на формировании и развитии здоровой личности ребенка на всех ее уровнях (психофизическом, социально-поведенческом, нравственном);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количества профессиональных кадров по профилактической работе с населением (специалисты системы здравоохранения, образования, социальной сферы);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снижение числа рецидивов употребления наркотиков среди несовершеннолетних, контроль за их деятельностью, социальная защита каждого ребенка;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повышение профессионализма работников органов социальной защиты населения, учреждений социального обслуживания семьи и детей;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активизация работы СМИ и журналистов;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опыта работы библиотек по профилактике наркомании;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взаимодействия организаций, занимающихся вопросами профилактики наркомании.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Предполагается также организация в период летнего отдыха детей и подростков антинаркотических мероприятий, которые будут способствовать формированию и развитию у них личностных ресурсов, обеспечивающих доминирование ценностей здорового образа жизни.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Изготовление рекламно-информационной продукции по профилактике употребления наркотических средств позволит продемонстрировать населению района преимущества здорового образа жизни и бережного отношения к своему здоровью, повысить ответственность родителей за воспитание детей и заботу о них.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Внедрение новых методов и средств лечения, а также медицинской и социально-психологической реабилитации лиц, больных наркоманией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по лечению и реабилитации лиц, больных наркоманией, позволят улучшить качество оказания наркологической помощи.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Приобретение иммунохроматографических тест-полосок для выявления наркотических средств позволит расширить спектр определяемых наркотических веществ, улучшить качество диагностики отравлений ими.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Программой также предусмотрены мероприятия по расширению форм социальной реабилитации наркозависимых.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1"/>
        <w:ind w:firstLine="567"/>
        <w:jc w:val="center"/>
        <w:rPr>
          <w:sz w:val="26"/>
          <w:szCs w:val="26"/>
        </w:rPr>
      </w:pPr>
      <w:bookmarkStart w:id="2" w:name="_Toc18387603"/>
      <w:r>
        <w:rPr>
          <w:sz w:val="26"/>
          <w:szCs w:val="26"/>
        </w:rPr>
        <w:t>8. Ресурсное обеспечение Программ</w:t>
      </w:r>
      <w:bookmarkEnd w:id="2"/>
      <w:r>
        <w:rPr>
          <w:sz w:val="26"/>
          <w:szCs w:val="26"/>
        </w:rPr>
        <w:t>ы.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реализуется за счет средств местного бюджета и на условиях софинансирования из краевого бюджета. Общий объем финансирования Программы на 2020-2026 годы составляе</w:t>
      </w:r>
      <w:r>
        <w:rPr>
          <w:color w:val="000000"/>
          <w:sz w:val="26"/>
          <w:szCs w:val="26"/>
        </w:rPr>
        <w:t xml:space="preserve">т 293 698,00 </w:t>
      </w:r>
      <w:r>
        <w:rPr>
          <w:sz w:val="26"/>
          <w:szCs w:val="26"/>
        </w:rPr>
        <w:t>рублей.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2022 году.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9. Управление и система контроля за реализацией Программы.</w:t>
      </w:r>
    </w:p>
    <w:p>
      <w:pPr>
        <w:pStyle w:val="Normal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Контроль за исполнением Программы осуществляет Администрация Дальнереченского муниципального района. </w:t>
      </w:r>
    </w:p>
    <w:p>
      <w:pPr>
        <w:pStyle w:val="Normal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Также Администрация Дальнереченского муниципального района осуществляет текущее управление и контроль за исполнением мероприятий Программы.</w:t>
      </w:r>
    </w:p>
    <w:p>
      <w:pPr>
        <w:pStyle w:val="Normal"/>
        <w:ind w:firstLine="567"/>
        <w:jc w:val="both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>Текущий контроль за ходом исполнения мероприятий Программы включает: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>мониторинг хода выполнения Программы;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567" w:leader="none"/>
        </w:tabs>
        <w:ind w:left="0" w:firstLine="567"/>
        <w:jc w:val="both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>формирование отчета о целевом использовании предоставленных субсидий и выполнении мероприятий Программы в срок до 15 февраля года, следующего за отчетным финансовым годом;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  <w:tab w:val="left" w:pos="540" w:leader="none"/>
          <w:tab w:val="left" w:pos="567" w:leader="none"/>
        </w:tabs>
        <w:ind w:left="0" w:firstLine="567"/>
        <w:jc w:val="both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>предоставление ежеквартального отчета о ходе выполнения мероприятий Программы.</w:t>
      </w:r>
    </w:p>
    <w:p>
      <w:pPr>
        <w:pStyle w:val="Normal"/>
        <w:ind w:firstLine="567"/>
        <w:jc w:val="both"/>
        <w:rPr>
          <w:rFonts w:eastAsia="MS Mincho"/>
          <w:sz w:val="26"/>
          <w:szCs w:val="26"/>
          <w:lang w:eastAsia="ru-RU"/>
        </w:rPr>
      </w:pPr>
      <w:r>
        <w:rPr>
          <w:rFonts w:eastAsia="MS Mincho"/>
          <w:sz w:val="26"/>
          <w:szCs w:val="26"/>
          <w:lang w:eastAsia="ru-RU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10. Ожидаемые результаты реализации Программы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носит социальный характер, результаты реализации ее мероприятий будут оказывать влияние на социально-экономическое развитие района.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в результате реализации программы условий для сокращения распространения наркомании и связанных с ней преступлений и правонарушений позволит добиться позитивного изменения ситуации, связанной с незаконным потреблением наркотиков в районе.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программы будет способствовать совершенствованию системы оценки объективных и субъективных факторов распространения наркомании в районе. Результатом реализации программы станет создание единой системы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молодых людей.</w:t>
      </w:r>
    </w:p>
    <w:p>
      <w:pPr>
        <w:pStyle w:val="Normal"/>
        <w:widowControl w:val="false"/>
        <w:ind w:right="22"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276" w:right="851" w:header="0" w:top="851" w:footer="0" w:bottom="993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10" w:after="10"/>
        <w:ind w:left="10800" w:hang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>
      <w:pPr>
        <w:pStyle w:val="Normal"/>
        <w:spacing w:before="10" w:after="10"/>
        <w:ind w:left="10800" w:hanging="0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программе</w:t>
      </w:r>
    </w:p>
    <w:p>
      <w:pPr>
        <w:pStyle w:val="Normal"/>
        <w:spacing w:before="10" w:after="10"/>
        <w:ind w:left="10800" w:hanging="0"/>
        <w:jc w:val="right"/>
        <w:rPr>
          <w:sz w:val="26"/>
          <w:szCs w:val="26"/>
        </w:rPr>
      </w:pPr>
      <w:r>
        <w:rPr>
          <w:sz w:val="22"/>
          <w:szCs w:val="22"/>
        </w:rPr>
        <w:t>«Комплексные меры противодействия злоупотреблению наркотиками и их незаконному обороту на территории Дальнереченского муниципального района на 2020-2026 годы»</w:t>
      </w:r>
      <w:r>
        <w:rPr>
          <w:sz w:val="26"/>
          <w:szCs w:val="26"/>
        </w:rPr>
        <w:t xml:space="preserve"> 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мероприятий по реализации муниципальной программы 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rFonts w:eastAsia="MS Mincho"/>
          <w:b/>
          <w:sz w:val="26"/>
          <w:szCs w:val="26"/>
        </w:rPr>
        <w:t xml:space="preserve">Комплексные меры противодействия злоупотреблению наркотиками и их незаконному обороту </w:t>
      </w:r>
      <w:r>
        <w:rPr>
          <w:b/>
          <w:sz w:val="26"/>
          <w:szCs w:val="26"/>
        </w:rPr>
        <w:t>на территории Дальнереченского муниципального района на 2020-2026 годы»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18925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05"/>
        <w:gridCol w:w="2585"/>
        <w:gridCol w:w="568"/>
        <w:gridCol w:w="568"/>
        <w:gridCol w:w="566"/>
        <w:gridCol w:w="567"/>
        <w:gridCol w:w="1134"/>
        <w:gridCol w:w="1134"/>
        <w:gridCol w:w="1133"/>
        <w:gridCol w:w="1134"/>
        <w:gridCol w:w="1135"/>
        <w:gridCol w:w="1134"/>
        <w:gridCol w:w="1134"/>
        <w:gridCol w:w="1133"/>
        <w:gridCol w:w="992"/>
        <w:gridCol w:w="1135"/>
        <w:gridCol w:w="1134"/>
        <w:gridCol w:w="1129"/>
      </w:tblGrid>
      <w:tr>
        <w:trPr/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п/п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в разрезе источников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рублей,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Координатор,  главный распорядитель (распорядитель) бюджетных средств, исполнитель</w:t>
            </w:r>
          </w:p>
        </w:tc>
        <w:tc>
          <w:tcPr>
            <w:tcW w:w="1135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2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6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Рз,ПРз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0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0"/>
              </w:rPr>
              <w:t>2022г.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2025 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2026г</w:t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2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5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2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местный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бюджет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0"/>
              </w:rPr>
              <w:t>293698,00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0"/>
              </w:rPr>
              <w:t>30 000,00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71 798,00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bCs/>
                <w:sz w:val="20"/>
              </w:rPr>
              <w:t>50 900,00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bCs/>
                <w:sz w:val="20"/>
              </w:rPr>
              <w:t>60 500,00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/>
                <w:bCs/>
                <w:sz w:val="20"/>
              </w:rPr>
              <w:t>60 500,00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2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59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Профилактика злоупотребления, распространения наркомании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140 300,00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14 300,00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25 700,00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30 000,00</w:t>
            </w:r>
          </w:p>
        </w:tc>
      </w:tr>
      <w:tr>
        <w:trPr>
          <w:trHeight w:val="499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rPr>
                <w:sz w:val="20"/>
              </w:rPr>
            </w:pPr>
            <w:r>
              <w:rPr>
                <w:sz w:val="20"/>
              </w:rPr>
              <w:t>Осуществление мониторинга ситуации, связанной с распространением наркотиков на территории района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ДМР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2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499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rPr>
                <w:sz w:val="20"/>
              </w:rPr>
            </w:pPr>
            <w:r>
              <w:rPr>
                <w:sz w:val="20"/>
              </w:rPr>
              <w:t>Обеспечение информирования населения о мерах по предупреждению незаконного оборота наркотиков, а также о результатах борьбы с наркопреступностью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Администрация ДМР</w:t>
            </w:r>
          </w:p>
        </w:tc>
        <w:tc>
          <w:tcPr>
            <w:tcW w:w="1135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2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499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rPr>
                <w:sz w:val="20"/>
              </w:rPr>
            </w:pPr>
            <w:r>
              <w:rPr>
                <w:sz w:val="20"/>
              </w:rPr>
              <w:t>Организация и проведение антинаркотических акций, а также проведение разъяснительной работы с родителями подростков и подростками о вреде потребления наркотиков и ответственности за их незаконный оборот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0490123161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123 200,00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12 600,00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Администрация ДМР</w:t>
            </w:r>
          </w:p>
        </w:tc>
        <w:tc>
          <w:tcPr>
            <w:tcW w:w="1135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2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499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rPr>
                <w:sz w:val="20"/>
              </w:rPr>
            </w:pPr>
            <w:r>
              <w:rPr>
                <w:sz w:val="20"/>
              </w:rPr>
              <w:t>Организация  работы по  изготовлению и распространению печатной продукции, средств наглядной агитации, направленных на профилактику наркомании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0490123162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17 100,00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Администрация ДМР</w:t>
            </w:r>
          </w:p>
        </w:tc>
        <w:tc>
          <w:tcPr>
            <w:tcW w:w="1135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2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499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rPr>
                <w:sz w:val="20"/>
              </w:rPr>
            </w:pPr>
            <w:r>
              <w:rPr>
                <w:sz w:val="20"/>
              </w:rPr>
              <w:t>Создание в образовательных учреждениях уголков по антинаркотической тематике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Администрация ДМР</w:t>
            </w:r>
          </w:p>
        </w:tc>
        <w:tc>
          <w:tcPr>
            <w:tcW w:w="1135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2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100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мероприятия:</w:t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«Противодействие незаконному обороту наркотических средств и психотропных веществ»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153 398,00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15 700,00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51 498,00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25 200,00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30 500,00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30 500,00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29" w:type="dxa"/>
            <w:tcBorders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10 000,00</w:t>
            </w:r>
          </w:p>
        </w:tc>
      </w:tr>
      <w:tr>
        <w:trPr>
          <w:trHeight w:val="499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Проведение спортивных мероприятий под лозунгом «Спорт вместо наркотиков»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Администрация ДМР</w:t>
            </w:r>
          </w:p>
        </w:tc>
        <w:tc>
          <w:tcPr>
            <w:tcW w:w="1135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2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Приобретение тест-полосок для иммуно-хроматографического определения наркотических веществ с целью выявления потребителей наркотиков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0490123163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87 525,5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6 125,50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20 200,00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Администрация ДМР</w:t>
            </w:r>
          </w:p>
        </w:tc>
        <w:tc>
          <w:tcPr>
            <w:tcW w:w="1135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2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</w:tr>
      <w:tr>
        <w:trPr>
          <w:trHeight w:val="1134" w:hRule="atLeast"/>
          <w:cantSplit w:val="true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Ежегодное проведение оперативно-профилактических операций «Мак», «Допинг», «Канал», иных плановых мероприятий (рейдов), направленных на выявление незаконных посевов наркокультур, уничтожение очагов произрастания дикорастущей конопли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0490123164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65 872,50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9 574,50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31 298,00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5 000,00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Все органы системы профилактики</w:t>
            </w:r>
          </w:p>
        </w:tc>
        <w:tc>
          <w:tcPr>
            <w:tcW w:w="1135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4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29" w:type="dxa"/>
            <w:tcBorders/>
          </w:tcPr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1134" w:right="720" w:header="0" w:top="899" w:footer="0" w:bottom="71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ind w:right="22" w:firstLine="709"/>
        <w:rPr>
          <w:sz w:val="26"/>
          <w:szCs w:val="26"/>
        </w:rPr>
      </w:pPr>
      <w:r>
        <w:rPr/>
      </w:r>
    </w:p>
    <w:sectPr>
      <w:type w:val="nextPage"/>
      <w:pgSz w:w="11906" w:h="16838"/>
      <w:pgMar w:left="1701" w:right="851" w:header="0" w:top="72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uiPriority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Body Text Indent 2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72d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ar-SA" w:val="ru-RU" w:bidi="ar-SA"/>
    </w:rPr>
  </w:style>
  <w:style w:type="paragraph" w:styleId="4">
    <w:name w:val="Heading 4"/>
    <w:basedOn w:val="Normal"/>
    <w:next w:val="Normal"/>
    <w:link w:val="40"/>
    <w:uiPriority w:val="99"/>
    <w:qFormat/>
    <w:rsid w:val="001a72dd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Normal"/>
    <w:next w:val="Normal"/>
    <w:link w:val="50"/>
    <w:uiPriority w:val="99"/>
    <w:qFormat/>
    <w:rsid w:val="001a72dd"/>
    <w:pPr>
      <w:keepNext w:val="true"/>
      <w:keepLines/>
      <w:spacing w:before="200" w:after="0"/>
      <w:outlineLvl w:val="4"/>
    </w:pPr>
    <w:rPr>
      <w:rFonts w:ascii="Cambria" w:hAnsi="Cambria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1a72dd"/>
    <w:rPr>
      <w:rFonts w:ascii="Cambria" w:hAnsi="Cambria" w:cs="Times New Roman"/>
      <w:b/>
      <w:bCs/>
      <w:i/>
      <w:iCs/>
      <w:color w:val="4F81BD"/>
      <w:sz w:val="20"/>
      <w:szCs w:val="20"/>
      <w:lang w:eastAsia="ar-SA" w:bidi="ar-SA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1a72dd"/>
    <w:rPr>
      <w:rFonts w:ascii="Cambria" w:hAnsi="Cambria" w:cs="Times New Roman"/>
      <w:color w:val="243F60"/>
      <w:sz w:val="20"/>
      <w:szCs w:val="20"/>
      <w:lang w:eastAsia="ar-SA" w:bidi="ar-SA"/>
    </w:rPr>
  </w:style>
  <w:style w:type="character" w:styleId="2" w:customStyle="1">
    <w:name w:val="Основной текст с отступом 2 Знак"/>
    <w:basedOn w:val="DefaultParagraphFont"/>
    <w:link w:val="20"/>
    <w:uiPriority w:val="99"/>
    <w:qFormat/>
    <w:locked/>
    <w:rsid w:val="001a72dd"/>
    <w:rPr>
      <w:rFonts w:ascii="Times New Roman" w:hAnsi="Times New Roman" w:cs="Times New Roman"/>
      <w:sz w:val="24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b"/>
    <w:uiPriority w:val="99"/>
    <w:semiHidden/>
    <w:qFormat/>
    <w:rsid w:val="00c54fe7"/>
    <w:rPr>
      <w:rFonts w:ascii="Segoe UI" w:hAnsi="Segoe UI" w:eastAsia="Times New Roman" w:cs="Segoe UI"/>
      <w:sz w:val="18"/>
      <w:szCs w:val="18"/>
      <w:lang w:eastAsia="ar-SA"/>
    </w:rPr>
  </w:style>
  <w:style w:type="character" w:styleId="1" w:customStyle="1">
    <w:name w:val="Заголовок 1 Знак"/>
    <w:basedOn w:val="DefaultParagraphFont"/>
    <w:link w:val="11"/>
    <w:qFormat/>
    <w:rsid w:val="002c48fc"/>
    <w:rPr>
      <w:rFonts w:ascii="Times New Roman" w:hAnsi="Times New Roman" w:eastAsia="Times New Roman"/>
      <w:b/>
      <w:bCs/>
      <w:sz w:val="28"/>
      <w:szCs w:val="20"/>
    </w:rPr>
  </w:style>
  <w:style w:type="character" w:styleId="Strong">
    <w:name w:val="Strong"/>
    <w:basedOn w:val="DefaultParagraphFont"/>
    <w:qFormat/>
    <w:locked/>
    <w:rsid w:val="002c48fc"/>
    <w:rPr>
      <w:b/>
      <w:bCs/>
    </w:rPr>
  </w:style>
  <w:style w:type="character" w:styleId="Style13" w:customStyle="1">
    <w:name w:val="Верхний колонтитул Знак"/>
    <w:basedOn w:val="DefaultParagraphFont"/>
    <w:link w:val="ae"/>
    <w:qFormat/>
    <w:rsid w:val="002c48fc"/>
    <w:rPr>
      <w:rFonts w:ascii="Times New Roman" w:hAnsi="Times New Roman" w:eastAsia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"/>
    <w:uiPriority w:val="99"/>
    <w:qFormat/>
    <w:rsid w:val="001a72dd"/>
    <w:pPr>
      <w:spacing w:lineRule="auto" w:line="480" w:before="0" w:after="120"/>
      <w:ind w:left="283" w:hanging="0"/>
    </w:pPr>
    <w:rPr>
      <w:sz w:val="24"/>
      <w:szCs w:val="24"/>
      <w:lang w:eastAsia="ru-RU"/>
    </w:rPr>
  </w:style>
  <w:style w:type="paragraph" w:styleId="ConsPlusNormal" w:customStyle="1">
    <w:name w:val="ConsPlusNormal"/>
    <w:qFormat/>
    <w:rsid w:val="00c700c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Calibri"/>
      <w:color w:val="auto"/>
      <w:kern w:val="0"/>
      <w:sz w:val="20"/>
      <w:szCs w:val="20"/>
      <w:lang w:eastAsia="ar-SA" w:val="ru-RU" w:bidi="ar-SA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7641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c54fe7"/>
    <w:pPr/>
    <w:rPr>
      <w:rFonts w:ascii="Segoe UI" w:hAnsi="Segoe UI" w:cs="Segoe UI"/>
      <w:sz w:val="18"/>
      <w:szCs w:val="18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f"/>
    <w:rsid w:val="002c48fc"/>
    <w:pPr>
      <w:tabs>
        <w:tab w:val="clear" w:pos="708"/>
        <w:tab w:val="center" w:pos="4677" w:leader="none"/>
        <w:tab w:val="right" w:pos="9355" w:leader="none"/>
      </w:tabs>
    </w:pPr>
    <w:rPr>
      <w:sz w:val="24"/>
      <w:szCs w:val="24"/>
      <w:lang w:eastAsia="ru-RU"/>
    </w:rPr>
  </w:style>
  <w:style w:type="paragraph" w:styleId="11" w:customStyle="1">
    <w:name w:val="Заголовок 11"/>
    <w:basedOn w:val="Normal"/>
    <w:next w:val="Normal"/>
    <w:link w:val="1"/>
    <w:qFormat/>
    <w:rsid w:val="002c48fc"/>
    <w:pPr>
      <w:keepNext w:val="true"/>
      <w:outlineLvl w:val="0"/>
    </w:pPr>
    <w:rPr>
      <w:b/>
      <w:bCs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485D-08D5-4BB0-8A3F-BE3A1B8E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LibreOffice/6.4.4.2$Linux_X86_64 LibreOffice_project/40$Build-2</Application>
  <Pages>13</Pages>
  <Words>3190</Words>
  <Characters>23718</Characters>
  <CharactersWithSpaces>26807</CharactersWithSpaces>
  <Paragraphs>421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2023-11-24T06:37:00Z</dcterms:created>
  <dc:creator>Admin</dc:creator>
  <dc:description/>
  <dc:language>ru-RU</dc:language>
  <cp:lastModifiedBy/>
  <cp:lastPrinted>2022-11-10T07:42:00Z</cp:lastPrinted>
  <dcterms:modified xsi:type="dcterms:W3CDTF">2023-11-27T09:18:21Z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