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ПОСТАНОВЛЕНИЕ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</w:t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u w:val="single"/>
          <w:lang w:bidi="ar-SA"/>
        </w:rPr>
        <w:t>29 декабря 2023 г.</w:t>
      </w:r>
      <w:r>
        <w:rPr>
          <w:rFonts w:eastAsia="Times New Roman" w:cs="Times New Roman" w:ascii="Times New Roman" w:hAnsi="Times New Roman"/>
          <w:b/>
          <w:color w:val="auto"/>
          <w:lang w:bidi="ar-SA"/>
        </w:rPr>
        <w:t xml:space="preserve">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lang w:bidi="ar-SA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u w:val="single"/>
          <w:lang w:bidi="ar-SA"/>
        </w:rPr>
        <w:t xml:space="preserve">№766 -па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О внесении изменений в муниципальную программу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"Развитие кадрового потенциала системы общего образования</w:t>
      </w:r>
      <w:bookmarkStart w:id="0" w:name="_GoBack"/>
      <w:bookmarkEnd w:id="0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>в Дальнереченском муниципальном районе в 2021-2026 годах"</w:t>
      </w:r>
      <w:bookmarkStart w:id="1" w:name="_Hlk50366975"/>
      <w:bookmarkEnd w:id="1"/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bidi="ar-SA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В целях обеспечения эффективного использования бюджетных средств, в соответствии со статьей 179 Бюджетного кодекса Российской Федерации, руководствуясь постановлением администрации Дальнереченского муниципального района от 01.11.2019 г.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 Внести в муниципальную программу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2021-2025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утвержденную постановлением администрации Дальнереченского муниципального района от 29 июля 2021г № 330-па и продленную на 2026 год (далее - Программа) следующие изменения: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1.1. В паспорте Программы строку «Объемы и источники финансирования программы по годам»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«Объемы финансирования программы составляет 8 515 292,57 рублей, в том числе за счет средств краевого бюджета-6 725 000,00 рублей, районного бюджета – 1 790 292,57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год-0,00 рублей; 2022 год- 1 535 000,00 рублей; 2023 год – 1 850 000,00 рублей; 2024 год – 1 805 000,00 рублей; 2025 год – 1 535 000,00 рублей; 2026 год-0,00руб.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2021год – 366 700,00 рублей; 2022 год -545 592,57 рублей; 2023 год – 389 000,00 рублей; 2024год – 389 000,00 рублей; 2025 год - 0,00 рублей; 2026 год- 100 000,00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период».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1.2. Раздел 2.6. Программы «Общий объем финансовых ресурсов, необходимых для реализации программы» изложить в следующей редакции: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"2.6. Общий объем финансовых ресурсов, необходимых для реализации программы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Финансирование программы осуществляется за счет средств: краевого бюджета - в соответствии с законом Приморского края о краевом бюджете на соответствующий финансовый год и на плановый период; районного бюджета - в соответствии с решением Думы Дальнереченского муниципального района о районном бюджете на соответствующий финансовый год и на плановый период.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Общий объем финансирования программы составляет 8 515 292 57 рублей, из них: из краевого бюджета-6 725 000,00 рублей, из районного бюджета – 1 790 292,57 рублей.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краевого бюджета: 2021 год-0,00 рублей; 2022 год- 1535 000,00 рублей; 2023 год – 1 850 000,00 рублей; 2024 год – 1535 000,00 рублей; 2025 год – 1 535 000,00 рублей; 2026 год – 0,00 руб.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счет средств районного бюджета: 2021год – 366 700,00 рублей; 2022 год -545 592,57 рублей; 2023 год – 389 000,00 рублей; 2024год – 389 000,00 рублей; 2025 год – 0,00 рублей; 2026 год – 100 000,00 рублей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Объем финансирования программы подлежит ежегодному уточнению при формировании краевого и районных бюджетов на очередной финансовый год и на плановый период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Сводные финансовые затраты по направлениям программы представлены в приложении № 1 к программе «Развитие кадрового потенциала системы общего образования в Дальнереченском муниципальном районе в 2021-2026 годах».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1.3. Изложить приложение № 1 к программе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в Дальнереченском муниципальном районе в 2021-2026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 xml:space="preserve">" в редакции приложения № 1 к настоящему постановлению.    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3. 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4. Постановление вступает в силу со дня официального обнародования.</w:t>
      </w:r>
    </w:p>
    <w:p>
      <w:pPr>
        <w:pStyle w:val="Normal"/>
        <w:widowControl/>
        <w:spacing w:beforeAutospacing="1" w:afterAutospacing="1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Глава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Дальнереченского муниципального района         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                </w:t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  <w:bookmarkStart w:id="2" w:name="bookmark0"/>
      <w:bookmarkStart w:id="3" w:name="bookmark0"/>
      <w:bookmarkEnd w:id="3"/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2021-2025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2021-2026годах»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19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3"/>
        <w:gridCol w:w="1565"/>
        <w:gridCol w:w="1139"/>
        <w:gridCol w:w="1199"/>
        <w:gridCol w:w="980"/>
        <w:gridCol w:w="894"/>
        <w:gridCol w:w="1071"/>
        <w:gridCol w:w="1027"/>
        <w:gridCol w:w="871"/>
        <w:gridCol w:w="813"/>
        <w:gridCol w:w="879"/>
        <w:gridCol w:w="813"/>
        <w:gridCol w:w="871"/>
        <w:gridCol w:w="812"/>
        <w:gridCol w:w="862"/>
        <w:gridCol w:w="809"/>
      </w:tblGrid>
      <w:tr>
        <w:trPr/>
        <w:tc>
          <w:tcPr>
            <w:tcW w:w="583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п/п 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мероприятия  </w:t>
            </w:r>
          </w:p>
        </w:tc>
        <w:tc>
          <w:tcPr>
            <w:tcW w:w="1139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соисполнители</w:t>
            </w:r>
          </w:p>
        </w:tc>
        <w:tc>
          <w:tcPr>
            <w:tcW w:w="1199" w:type="dxa"/>
            <w:vMerge w:val="restart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ЦСР</w:t>
            </w:r>
          </w:p>
        </w:tc>
        <w:tc>
          <w:tcPr>
            <w:tcW w:w="10702" w:type="dxa"/>
            <w:gridSpan w:val="12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 w:bidi="ar-SA"/>
              </w:rPr>
            </w:r>
          </w:p>
        </w:tc>
      </w:tr>
      <w:tr>
        <w:trPr/>
        <w:tc>
          <w:tcPr>
            <w:tcW w:w="58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</w:r>
          </w:p>
        </w:tc>
        <w:tc>
          <w:tcPr>
            <w:tcW w:w="15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</w:r>
          </w:p>
        </w:tc>
        <w:tc>
          <w:tcPr>
            <w:tcW w:w="113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</w:r>
          </w:p>
        </w:tc>
        <w:tc>
          <w:tcPr>
            <w:tcW w:w="119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Первый 2021 год планового периода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1071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Второй 2022 год планового периода</w:t>
            </w:r>
          </w:p>
        </w:tc>
        <w:tc>
          <w:tcPr>
            <w:tcW w:w="1027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 местного бюджета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Третий 2023 год планового периода</w:t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2024 год планового периода</w:t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Пятый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2025 год планового периода</w:t>
            </w:r>
          </w:p>
        </w:tc>
        <w:tc>
          <w:tcPr>
            <w:tcW w:w="812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Шестой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2026 год планового периода</w:t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в Дальнереченском муниципальном районе в 2021-2024 годах»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1100000000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2080592,57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545592,57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2239000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2194000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Отдельные мероприятия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1190000000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366700,00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2080592,57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545 592,57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2236000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2194000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119Е100000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1850000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1805000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1.1.1.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МКУ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 w:bidi="ar-SA"/>
              </w:rPr>
              <w:t>119Е193140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1850000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1805000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1.2.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1190200000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265700,00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265700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183 096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183 096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в том числе: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1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1.2.1.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1190223130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265700,00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265700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183 096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183 096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1.3.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1190300000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1.3.1.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1190370590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1.4.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Мотивация педагогов к саморазвитию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1190400000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100000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в том числе: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</w:r>
          </w:p>
        </w:tc>
        <w:tc>
          <w:tcPr>
            <w:tcW w:w="87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7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1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6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0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</w:tr>
      <w:tr>
        <w:trPr/>
        <w:tc>
          <w:tcPr>
            <w:tcW w:w="58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1.4.1.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2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1190470590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10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121 996,57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121 996,57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87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871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12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6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100000</w:t>
            </w:r>
          </w:p>
        </w:tc>
        <w:tc>
          <w:tcPr>
            <w:tcW w:w="8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/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2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A798-4E36-47E4-B5FE-1EAD9E3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LibreOffice/6.4.4.2$Linux_X86_64 LibreOffice_project/40$Build-2</Application>
  <Pages>7</Pages>
  <Words>1021</Words>
  <Characters>6723</Characters>
  <CharactersWithSpaces>8180</CharactersWithSpaces>
  <Paragraphs>232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2023-01-24T05:00:00Z</dcterms:created>
  <dc:creator>Пользователь</dc:creator>
  <dc:description/>
  <dc:language>ru-RU</dc:language>
  <cp:lastModifiedBy>Бринько</cp:lastModifiedBy>
  <cp:lastPrinted>2023-12-29T01:21:00Z</cp:lastPrinted>
  <dcterms:modified xsi:type="dcterms:W3CDTF">2023-12-29T01:49:00Z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