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>10 марта 2023 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  </w:t>
      </w:r>
      <w:r>
        <w:rPr>
          <w:b/>
          <w:sz w:val="22"/>
          <w:szCs w:val="22"/>
          <w:u w:val="single"/>
        </w:rPr>
        <w:t>№ 162 -па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29172172,32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12304021,38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8214677,00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10.03.2023 г. № 162-па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6"/>
        <w:gridCol w:w="2882"/>
        <w:gridCol w:w="716"/>
        <w:gridCol w:w="819"/>
        <w:gridCol w:w="1371"/>
        <w:gridCol w:w="532"/>
        <w:gridCol w:w="1711"/>
        <w:gridCol w:w="1320"/>
        <w:gridCol w:w="1214"/>
        <w:gridCol w:w="1214"/>
        <w:gridCol w:w="1214"/>
        <w:gridCol w:w="1108"/>
        <w:gridCol w:w="1109"/>
      </w:tblGrid>
      <w:tr>
        <w:trPr/>
        <w:tc>
          <w:tcPr>
            <w:tcW w:w="846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82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38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179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46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82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29172172,32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12304021,38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8214677,00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26517596,60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8126277,00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103000,00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3223301,48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1231600,00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6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10750000,00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6500000,00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992376,70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71503,53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236702,19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53913,05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201385,58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2628242,39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88400,00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214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8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3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2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709" w:right="709" w:header="709" w:top="851" w:footer="709" w:bottom="79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LibreOffice/6.4.4.2$Linux_X86_64 LibreOffice_project/40$Build-2</Application>
  <Pages>7</Pages>
  <Words>877</Words>
  <Characters>5968</Characters>
  <CharactersWithSpaces>6826</CharactersWithSpaces>
  <Paragraphs>441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2023-03-13T01:47:00Z</dcterms:created>
  <dc:creator>User</dc:creator>
  <dc:description/>
  <dc:language>ru-RU</dc:language>
  <cp:lastModifiedBy/>
  <cp:lastPrinted>2023-03-15T06:26:00Z</cp:lastPrinted>
  <dcterms:modified xsi:type="dcterms:W3CDTF">2023-08-10T15:51:48Z</dcterms:modified>
  <cp:revision>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