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2021-2025 годах"</w:t>
      </w:r>
      <w:bookmarkStart w:id="0" w:name="_Hlk50366975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Руководствуясь Уставом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14.11.2022г. № 646-па (далее-  Программа) следующие изменения:</w:t>
      </w:r>
    </w:p>
    <w:p>
      <w:pPr>
        <w:pStyle w:val="ListParagraph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8 025 292,57 рублей, в том числе за счет средств краевого бюджета-6 335 000,00 рублей, районного бюджета – 1 690 292,57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год- 1 535 000,00 рублей; 2023 год – 1 730 000,00 рублей; 2024 год – 1 535 000,00 рублей; 2025 год – 1 535 000,00 рублей;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366 700,00 рублей; 2022 год -545 592,57 рублей; 2023 год – 389 000,00 рублей; 2024год – 389 000,00 рублей; 2025 год -  0,00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В разделе 2.6. «Общий объем финансовых ресурсов, необходимых для реализации программы» второй абзац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8 025 292,5 рублей, из них: из краевого бюджета-6 335 000,00 рублей, из районного бюджета – 1 690 292,57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год- 1535 000,00 рублей; 2023 год – 1 730 000,00 рублей; 2024 год – 1535 000,00 рублей; 2025 год – 1 535 000,00 рпублей.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366 700,00 рублей; 2022 год -545 592,57 рублей; 2023 год – 389 000,00 рублей; 2024год – 389 000,00 рублей; 2025 год – 0,00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        </w:t>
      </w:r>
    </w:p>
    <w:p>
      <w:pPr>
        <w:pStyle w:val="Normal"/>
        <w:widowControl/>
        <w:numPr>
          <w:ilvl w:val="0"/>
          <w:numId w:val="1"/>
        </w:numPr>
        <w:spacing w:beforeAutospacing="1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  <w:bookmarkStart w:id="1" w:name="_GoBack"/>
      <w:bookmarkStart w:id="2" w:name="_GoBack"/>
      <w:bookmarkEnd w:id="2"/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  <w:bookmarkStart w:id="3" w:name="bookmark0"/>
      <w:bookmarkStart w:id="4" w:name="bookmark0"/>
      <w:bookmarkEnd w:id="4"/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2021-2025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913"/>
        <w:gridCol w:w="851"/>
        <w:gridCol w:w="1276"/>
        <w:gridCol w:w="1133"/>
        <w:gridCol w:w="958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2080592,57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545592,57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1657000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183096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183096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121996,57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121996,57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60" w:hanging="75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510" w:hanging="180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4AA-1A90-4BFF-9F92-F1DF6C5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LibreOffice/6.4.4.2$Linux_X86_64 LibreOffice_project/40$Build-2</Application>
  <Pages>4</Pages>
  <Words>800</Words>
  <Characters>5345</Characters>
  <CharactersWithSpaces>6637</CharactersWithSpaces>
  <Paragraphs>204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2022-07-14T23:37:00Z</cp:lastPrinted>
  <dcterms:modified xsi:type="dcterms:W3CDTF">2023-01-10T12:50:17Z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