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en-US"/>
        </w:rPr>
        <w:t xml:space="preserve"> </w:t>
      </w: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ru-RU"/>
        </w:rPr>
        <w:t xml:space="preserve">ПРОЕКТ </w:t>
      </w:r>
      <w:r>
        <w:rPr>
          <w:sz w:val="26"/>
        </w:rPr>
        <w:t>ПОСТАНОВЛЕНИ</w:t>
      </w:r>
      <w:r>
        <w:rPr>
          <w:sz w:val="26"/>
          <w:lang w:val="ru-RU"/>
        </w:rPr>
        <w:t>Я</w:t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rFonts w:eastAsia="Times New Roman" w:cs="Times New Roman" w:ascii="Times New Roman" w:hAnsi="Times New Roman"/>
          <w:b/>
        </w:rPr>
        <w:t xml:space="preserve">   </w:t>
      </w:r>
      <w:r>
        <w:rPr>
          <w:rFonts w:eastAsia="Times New Roman" w:cs="Times New Roman" w:ascii="Times New Roman" w:hAnsi="Times New Roman"/>
          <w:b/>
          <w:u w:val="single"/>
        </w:rPr>
        <w:t xml:space="preserve">             </w:t>
      </w: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>года</w:t>
      </w: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  <w:u w:val="single"/>
        </w:rPr>
        <w:t>№   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Порядка предоставления мер поддержки детям граждан, призванных на военную службу по мобилизации</w:t>
      </w: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Вооруженные Силы Российской Федерации на территории Дальнереченского муниципального района Приморского края</w:t>
      </w:r>
      <w:bookmarkStart w:id="0" w:name="_Hlk115335954"/>
      <w:bookmarkEnd w:id="0"/>
    </w:p>
    <w:p>
      <w:pPr>
        <w:pStyle w:val="Normal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в связи с принятием Указом Президента РФ от 21.09.2022 № 647 "Об объявлении частичной мобилизации в Российской Федерации", на основании постановления администрации Дальнереченского муниципального района от 05.10.2022 № 562-па "О мерах поддержки граждан, призванных на военную службу по мобилизации в Вооруженные Силы Российской Федерации, и членов их семей на территории Дальнереченского муниципального района Приморского края", 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cs="Times New Roman" w:ascii="Times New Roman" w:hAnsi="Times New Roman"/>
          <w:sz w:val="28"/>
          <w:szCs w:val="28"/>
          <w:shd w:fill="000000" w:val="clear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Порядок предоставления мер поддержки детям граждан, призванных на военную службу по мобилизации в Вооруженные Силы Российской Федерации на территории Дальнереченского муниципального района Приморского края (приложение № 1).</w:t>
      </w:r>
    </w:p>
    <w:p>
      <w:pPr>
        <w:pStyle w:val="Normal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4. </w:t>
      </w:r>
      <w:r>
        <w:rPr>
          <w:rFonts w:cs="Times New Roman" w:ascii="Times New Roman" w:hAnsi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>
        <w:rPr>
          <w:rFonts w:cs="Times New Roman"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06.10.2022 года.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                              В.С. Дернов                           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№ 1  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"   "  года № 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rmal"/>
        <w:shd w:val="clear" w:color="auto" w:fill="FFFFFF"/>
        <w:ind w:right="5" w:hanging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28"/>
          <w:szCs w:val="28"/>
        </w:rPr>
        <w:t>предоставления мер поддержки детям граждан, призванных на военную службу по мобилизации в Вооруженные Силы Российской Федерации на территории Дальнереченского муниципального района Приморского края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Настоящий Порядок регламентирует предоставление на территории Дальнереченского муниципального района Приморского края мер поддержки детям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 (далее – Порядок) и определяет условия и процедуру их обеспечения.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Мерами поддержки детям граждан, призванных на военную службу по мобилизации в Вооруженные Силы Российской Федерации, являются: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 бесплатного двухразового питания детей граждан, призванных на военную службу по мобилизации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Вооруженные Силы Российской Федерации, являющихся обучающимися муниципальных общеобразовательных учреждений Дальнереченского муниципального района;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освобождение от родительской платы за присмотр и уход за детьми граждан, призванных на военную службу по мобилизации в Вооруженные Силы Российской Федерации в муниципальных дошкольных образовательных учреждениях Дальнереченского муниципального района.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 далее по тексту Порядка именуются – мобилизованные граждане.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мобилизованных гражданах, полученные в порядке межведомственного взаимодействия от Военного комиссариата города Дальнереченск, Дальнереченского и Красноармейского районов Приморского края ФКУ "Военный комиссариат Приморского края", предоставляются в общеобразовательные учреждения Муниципальным казенным учреждением "Управление народного образования" Дальнереченского муниципального района.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Настоящий Порядок распространяется на учащихся муниципальных бюджетных образовательных учреждений Дальнереченского муниципального района, осваивающих основные общеобразовательные программы и на воспитанников дошкольных образовательных учреждений Дальнереченского муниципального района (далее - обучающиеся).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Бесплатное двухразовое питание (далее также - питание) предоставляется обучающимся ежедневно при посещении учреждения в учебные дни, за исключением выходных и нерабочих праздничных дней, дней каникул и периода временного отсутствия, в соответствии с режимом работы образовательной организации и календарным учебным графиком в виде завтрака и обеда в соответствии с требованиями санитарно-эпидемиологического законодательства. Расчет стоимости предоставляемого питания осуществляется в соответствии с бюджетными ассигнованиями, предусмотренными на эти цели в бюджете Дальнереченского муниципального района.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Освобождение от родительской платы за присмотр и уход за детьми осуществляется путем отмены указанной платы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муниципальных дошкольных образовательных учреждениях (далее – родительская плата) Дальнереченского муниципального района.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Для рассмотрения вопроса о предоставлении питания и отмены родительской платы один из родителей (законных представителей) обучающегося (далее - заявитель) представляют в учреждение следующие документы: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по форме, определенной приложением к настоящему Порядку;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копию документа, удостоверяющего личность заявителя;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копии документов, подтверждающих степень родства обучающегося и 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копию справки о призыве гражданина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 (представляется в случае отсутствия у образовательного учреждения информации о призыве мобилизованных граждан на военную службу по мобилизации в Вооруженные Силы Российской Федерации).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приеме документов, указанных в подпунктах 2 - 4 настоящего пункта, специалист учреждения сличает копию с оригиналом, ставит отметку "копия верна", свою подпись, фамилию, дату сверки.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Документы, предусмотренные пунктом 7 настоящего Порядка, поданные в учреждение, рассматриваются руководителем учреждения в день предоставления документов.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По результатам рассмотрения заявления в части обеспечения питанием или об освобождении от родительской платы, при отсутствии оснований для отказа в предоставлении питания или освобождения от родительской платы, предусмотренных пунктом 11 настоящего Порядка, руководитель учреждения издает приказ о предоставлении питания или об освобождении от родительской платы.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Предоставление питания и освобождение от родительской платы начинаются со дня, следующего за днем издания приказа о предоставлении питания или об освобождении от родительской платы, предусмотренного пунктом 9 настоящего Порядка.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Основаниями для принятия руководителем учреждения решения об отказе в предоставлении питания или освобождения от родительской платы обучающемуся являются: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непредоставление или предоставление не в полном объеме документов, указанных в пункте 7 настоящего Порядка;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гражданин не является родителем (законным представителем) обучающегося;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наличие в предоставленных документах недостоверных сведений.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 Бесплатное питание и освобождение от </w:t>
      </w:r>
      <w:bookmarkStart w:id="1" w:name="_Hlk116903535"/>
      <w:r>
        <w:rPr>
          <w:rFonts w:cs="Times New Roman" w:ascii="Times New Roman" w:hAnsi="Times New Roman"/>
          <w:sz w:val="28"/>
          <w:szCs w:val="28"/>
        </w:rPr>
        <w:t xml:space="preserve">родительской платы </w:t>
      </w:r>
      <w:bookmarkEnd w:id="1"/>
      <w:r>
        <w:rPr>
          <w:rFonts w:cs="Times New Roman" w:ascii="Times New Roman" w:hAnsi="Times New Roman"/>
          <w:sz w:val="28"/>
          <w:szCs w:val="28"/>
        </w:rPr>
        <w:t>предоставляется на срок военной службы родителя (законного представителя), призванного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Предоставление питания и освобождение от родительской платы прекращается в случае прекращения военной службы родителя (законного представителя), призванного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учреждение.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питания и </w:t>
      </w:r>
      <w:bookmarkStart w:id="2" w:name="_Hlk116918275"/>
      <w:r>
        <w:rPr>
          <w:rFonts w:cs="Times New Roman" w:ascii="Times New Roman" w:hAnsi="Times New Roman"/>
          <w:sz w:val="28"/>
          <w:szCs w:val="28"/>
        </w:rPr>
        <w:t xml:space="preserve">освобождение от родительской платы </w:t>
      </w:r>
      <w:bookmarkEnd w:id="2"/>
      <w:r>
        <w:rPr>
          <w:rFonts w:cs="Times New Roman" w:ascii="Times New Roman" w:hAnsi="Times New Roman"/>
          <w:sz w:val="28"/>
          <w:szCs w:val="28"/>
        </w:rPr>
        <w:t>прекращаются со дня, следующего за днем подачи письменного уведомления, предусмотренного абзацем вторым настоящего пункта.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Порядку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 мер поддержки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детям граждан, призванных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военную службу по мобилизации</w:t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Форма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заявления о предоставлении бесплатного двухразового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питания и (или) освобождения от родительской платы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детям граждан, призванных на военную службу по мобилизации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eastAsiaTheme="minorHAnsi" w:ascii="Courier New" w:hAnsi="Courier New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eastAsiaTheme="minorHAnsi" w:ascii="Courier New" w:hAnsi="Courier New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Директору "________________________________"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(Ф.И.О. родителя/законного представителя)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(Ф.И.О., число, месяц, год рождения обучающегося)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(адрес места жительства)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(контактный телефон)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eastAsiaTheme="minorHAnsi" w:ascii="Courier New" w:hAnsi="Courier New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ЗАЯВЛЕНИЕ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eastAsiaTheme="minorHAnsi" w:ascii="Courier New" w:hAnsi="Courier New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Прошу предоставить моему ребенку 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__________________________________________________________________________,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(Ф.И.О. ребенка полностью)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ученику/це _______ класса (воспитаннику _____ группы):</w:t>
      </w:r>
    </w:p>
    <w:p>
      <w:pPr>
        <w:pStyle w:val="Normal"/>
        <w:widowControl/>
        <w:suppressAutoHyphens w:val="false"/>
        <w:jc w:val="both"/>
        <w:rPr>
          <w:rFonts w:ascii="Arial" w:hAnsi="Arial" w:eastAsia="Calibri" w:cs="Arial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Arial" w:eastAsiaTheme="minorHAnsi" w:ascii="Arial" w:hAnsi="Arial"/>
          <w:color w:val="auto"/>
          <w:sz w:val="20"/>
          <w:szCs w:val="20"/>
          <w:lang w:eastAsia="en-US" w:bidi="ar-SA"/>
        </w:rPr>
      </w:r>
    </w:p>
    <w:tbl>
      <w:tblPr>
        <w:tblW w:w="903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816"/>
        <w:gridCol w:w="8220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rPr>
                <w:rFonts w:ascii="Arial" w:hAnsi="Arial" w:eastAsia="Calibri" w:cs="Arial"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sz w:val="20"/>
                <w:szCs w:val="20"/>
                <w:lang w:eastAsia="en-US" w:bidi="ar-SA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rPr>
                <w:rFonts w:ascii="Arial" w:hAnsi="Arial" w:eastAsia="Calibri" w:cs="Arial"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eastAsia="Calibri" w:cs="Arial" w:ascii="Arial" w:hAnsi="Arial" w:eastAsiaTheme="minorHAnsi"/>
                <w:color w:val="auto"/>
                <w:sz w:val="20"/>
                <w:szCs w:val="20"/>
                <w:lang w:eastAsia="en-US" w:bidi="ar-SA"/>
              </w:rPr>
              <w:t>бесплатное двухразовое питание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rPr>
                <w:rFonts w:ascii="Arial" w:hAnsi="Arial" w:eastAsia="Calibri" w:cs="Arial"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sz w:val="20"/>
                <w:szCs w:val="20"/>
                <w:lang w:eastAsia="en-US" w:bidi="ar-SA"/>
              </w:rPr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rPr>
                <w:rFonts w:ascii="Arial" w:hAnsi="Arial" w:eastAsia="Calibri" w:cs="Arial" w:eastAsiaTheme="minorHAns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eastAsia="Calibri" w:cs="Arial" w:ascii="Arial" w:hAnsi="Arial" w:eastAsiaTheme="minorHAnsi"/>
                <w:color w:val="auto"/>
                <w:sz w:val="20"/>
                <w:szCs w:val="20"/>
                <w:lang w:eastAsia="en-US" w:bidi="ar-SA"/>
              </w:rPr>
              <w:t>освобождение от родительской платы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Arial" w:hAnsi="Arial" w:eastAsia="Calibri" w:cs="Arial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Arial" w:eastAsiaTheme="minorHAnsi" w:ascii="Arial" w:hAnsi="Arial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К заявлению прилагаю: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1) 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2) 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3) 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4) 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eastAsiaTheme="minorHAnsi" w:ascii="Courier New" w:hAnsi="Courier New"/>
          <w:color w:val="auto"/>
          <w:sz w:val="20"/>
          <w:szCs w:val="20"/>
          <w:lang w:eastAsia="en-US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___________________                       ______________________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rFonts w:ascii="Courier New" w:hAnsi="Courier New" w:eastAsia="Calibri" w:cs="Courier New" w:eastAsiaTheme="minorHAnsi"/>
          <w:color w:val="auto"/>
          <w:sz w:val="20"/>
          <w:szCs w:val="20"/>
          <w:lang w:eastAsia="en-US" w:bidi="ar-SA"/>
        </w:rPr>
      </w:pP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 xml:space="preserve">               </w:t>
      </w:r>
      <w:r>
        <w:rPr>
          <w:rFonts w:eastAsia="Calibri" w:cs="Courier New" w:ascii="Courier New" w:hAnsi="Courier New" w:eastAsiaTheme="minorHAnsi"/>
          <w:color w:val="auto"/>
          <w:sz w:val="20"/>
          <w:szCs w:val="20"/>
          <w:lang w:eastAsia="en-US" w:bidi="ar-SA"/>
        </w:rPr>
        <w:t>(дата)                                    (подпись)</w:t>
      </w:r>
    </w:p>
    <w:p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>
        <w:rPr/>
      </w:r>
    </w:p>
    <w:sectPr>
      <w:headerReference w:type="default" r:id="rId3"/>
      <w:type w:val="nextPage"/>
      <w:pgSz w:w="11906" w:h="16838"/>
      <w:pgMar w:left="1410" w:right="617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5107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tru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6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Application>LibreOffice/6.4.4.2$Linux_X86_64 LibreOffice_project/40$Build-2</Application>
  <Pages>5</Pages>
  <Words>1120</Words>
  <Characters>8998</Characters>
  <CharactersWithSpaces>10790</CharactersWithSpaces>
  <Paragraphs>79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2022-10-17T02:55:00Z</dcterms:created>
  <dc:creator>GlEkonom</dc:creator>
  <dc:description/>
  <dc:language>ru-RU</dc:language>
  <cp:lastModifiedBy/>
  <cp:lastPrinted>2022-10-18T00:34:00Z</cp:lastPrinted>
  <dcterms:modified xsi:type="dcterms:W3CDTF">2022-10-18T16:52:22Z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