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360" w:right="-365" w:hanging="0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</w:rPr>
      </w:pPr>
      <w:r>
        <w:rPr>
          <w:b/>
        </w:rPr>
        <w:t>АДМИНИСТРАЦИЯ ДАЛЬНЕРЕЧЕНСКОГО МУНИЦИПАЛЬНОГО РАЙОНА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14 сентября 2022 года                 г. Дальнереченск                               № 527 - па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6"/>
          <w:szCs w:val="26"/>
        </w:rPr>
        <w:t>постановление администрации Дальнереченского муниципального района от 01 ноября 2019г.  № 455-па «Об утверждении Порядка разработки, реализации и оценки эффективности муниципальных программ Дальнереченского муниципального района»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-567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</w:t>
      </w:r>
      <w:r>
        <w:rPr>
          <w:bCs/>
          <w:sz w:val="26"/>
          <w:szCs w:val="26"/>
        </w:rPr>
        <w:t xml:space="preserve"> Дальнереченского муниципального района, администрация Дальнереченского муниципального района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Дальнереченского муниципального района от 01.11.2019г. № 455-па «Об утверждении Порядка разработки, реализации и оценки эффективности муниципальных программ Дальнереченского муниципального района» (далее-Порядок), следующие изменения: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изложить абзац 2 пункта 1.2. раздела 1 Порядка в следующей редакции: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«- муниципальная программа Дальнереченского муниципального района (далее –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Дальнереченского муниципального района. Программа разрабатывается на срок не менее 3 лет.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Деление программы на подпрограммы осуществляется исходя из масштабности и сложности решаемых в рамках программы задач»;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раздел 2 Порядка исключить, разделы 3, 4, 5, 6, 7 считать соответственно разделами 2, 3, 4, 5, 6;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пункт 3.1. раздела 3 Порядка изложить в следующей редакции: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«3.1. Ответственный исполнитель программы совместно с соисполнителем программы (подпрограммы) осуществляет разработку программы на основании перечня программ, утверждаемого постановлением администрации Дальнереченского муниципального района (далее – перечень).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перечня формируется отделом экономики администрации Дальнереченского муниципального района в срок до 1 сентября текущего финансового года в соответствии с законодательством Российской Федерации, поручениями Губернатора Приморского края, в соответствии с приоритетами социально-экономического развития Дальнереченского муниципального района, предложениями главы Дальнереченского муниципального района, думы Дальнереченского муниципального района, а также с учетом предложений ответственных исполнителей программ, направленных в адрес отдела экономики не позднее 20 августа текущего финансового года.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 содержит: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программы (подпрограммы);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наименование ответственного исполнителя программы;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срок реализации программы;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основные направления реализации программы.»;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пункт 3.2.2.5. дополнить абзацем следующего содержания: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«  Перечень реализуемых мероприятий муниципальной программы (подпрограммы) и отдельных мероприятий формируется разработчиком Программы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 пункт 3.2.7. раздела 3 Порядка дополнить абзацем следующего содержания: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« Ресурсное обеспечение реализации Программы с расшифровкой по главным распорядителям средств районного бюджета, подпрограммам, отдельным мероприятиям, а также прогнозная оценка привлекаемых средств по годам реализации формируется в соответствии с Приложением № 6 к настоящему Порядку. Объем бюджетных ассигнований указывается в рублях с точностью до двух знаков после запятой»;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пункт 4.3. раздела 4 Порядка изложить в следующей редакции: 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«4.3. Ответственный исполнитель программы после прохождения процедуры согласования проекта программы (подпрограммы) в течение одного рабочего дня направляет его в обязательном порядке на экспертизу и согласование в Контрольно-счетную палату Дальнереченского муниципального района.»;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1.7. раздел 4 Порядка дополнить пунктом 4.4., изложив его в следующей редакции: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«Согласованный проект Программы утверждается постановлением администрации Дальнереченского муниципального района.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Программы, предлагаемые к финансированию за счет средств бюджета Дальнереченского муниципального района, начиная с очередного финансового года, подлежат утверждению не позднее 1 ноября года, предшествующего очередному финансовому году.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программы, принимаемые и предлагаемые к финансированию в текущем году, являются основанием для внесения изменений в бюджет Дальнереченского муниципального района на текущий финансовый год при наличии источников финансирования.»;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1.8. дополнить Порядок Приложением № 5 в редакции Приложения № 1 к настоящему постановлению;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1.98</w:t>
      </w:r>
      <w:bookmarkStart w:id="0" w:name="_GoBack"/>
      <w:bookmarkEnd w:id="0"/>
      <w:r>
        <w:rPr>
          <w:sz w:val="26"/>
          <w:szCs w:val="26"/>
        </w:rPr>
        <w:t xml:space="preserve"> дополнить Порядок Приложением № 6 в редакции Приложения № 2 к настоящему постановлению. </w:t>
      </w:r>
    </w:p>
    <w:p>
      <w:pPr>
        <w:pStyle w:val="Normal"/>
        <w:ind w:left="-567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2. Отделу по работе с территориями и делопроизводству администрации Дальнереченского муниципального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Настоящее постановление вступает в силу со дня его подписания. </w:t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ind w:right="142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Глава Дальнереченского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                                                                     В.С. Дернов                                                     </w:t>
      </w:r>
    </w:p>
    <w:p>
      <w:pPr>
        <w:sectPr>
          <w:footerReference w:type="default" r:id="rId3"/>
          <w:type w:val="nextPage"/>
          <w:pgSz w:w="11906" w:h="16838"/>
          <w:pgMar w:left="1440" w:right="850" w:header="0" w:top="899" w:footer="708" w:bottom="1079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rStyle w:val="Style14"/>
          <w:b w:val="false"/>
          <w:b w:val="false"/>
          <w:sz w:val="20"/>
          <w:szCs w:val="20"/>
        </w:rPr>
      </w:pPr>
      <w:r>
        <w:rPr>
          <w:rStyle w:val="Style14"/>
          <w:b w:val="false"/>
          <w:sz w:val="20"/>
          <w:szCs w:val="20"/>
        </w:rPr>
        <w:tab/>
        <w:t>Приложение № 1</w:t>
      </w:r>
    </w:p>
    <w:p>
      <w:pPr>
        <w:pStyle w:val="Normal"/>
        <w:jc w:val="right"/>
        <w:rPr>
          <w:rStyle w:val="Style14"/>
          <w:b w:val="false"/>
          <w:b w:val="false"/>
          <w:sz w:val="20"/>
          <w:szCs w:val="20"/>
        </w:rPr>
      </w:pPr>
      <w:r>
        <w:rPr>
          <w:rStyle w:val="Style14"/>
          <w:b w:val="fals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Style w:val="Style14"/>
          <w:b w:val="false"/>
          <w:sz w:val="20"/>
          <w:szCs w:val="20"/>
        </w:rPr>
        <w:t xml:space="preserve">к Постановлению администрации Дальнереченского муниципального района                                                                                        </w:t>
      </w:r>
    </w:p>
    <w:p>
      <w:pPr>
        <w:pStyle w:val="Normal"/>
        <w:rPr>
          <w:rStyle w:val="Style14"/>
          <w:b w:val="false"/>
          <w:b w:val="false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от  </w:t>
      </w:r>
      <w:r>
        <w:rPr>
          <w:sz w:val="20"/>
          <w:szCs w:val="20"/>
          <w:u w:val="single"/>
        </w:rPr>
        <w:t xml:space="preserve"> 14 сентября   2022 </w:t>
      </w:r>
      <w:r>
        <w:rPr>
          <w:sz w:val="20"/>
          <w:szCs w:val="20"/>
        </w:rPr>
        <w:t>г.</w:t>
      </w:r>
      <w:r>
        <w:rPr>
          <w:sz w:val="20"/>
          <w:szCs w:val="20"/>
          <w:u w:val="single"/>
        </w:rPr>
        <w:t xml:space="preserve"> № 527 - па</w:t>
      </w:r>
      <w:r>
        <w:rPr>
          <w:rStyle w:val="Style14"/>
          <w:b w:val="fals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rmal1"/>
        <w:widowControl/>
        <w:ind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jc w:val="center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jc w:val="center"/>
        <w:rPr>
          <w:b w:val="false"/>
          <w:b w:val="false"/>
          <w:sz w:val="20"/>
          <w:szCs w:val="20"/>
        </w:rPr>
      </w:pPr>
      <w:r>
        <w:rPr/>
        <w:t>Перечень и краткое описание реализуемых в составе муниципальных программ Дальнереченского</w:t>
      </w:r>
    </w:p>
    <w:p>
      <w:pPr>
        <w:pStyle w:val="Normal"/>
        <w:jc w:val="center"/>
        <w:rPr>
          <w:b w:val="false"/>
          <w:b w:val="false"/>
          <w:sz w:val="20"/>
          <w:szCs w:val="20"/>
        </w:rPr>
      </w:pPr>
      <w:r>
        <w:rPr/>
        <w:t>муниципального района подпрограмм и отдельных мероприятий</w:t>
      </w:r>
    </w:p>
    <w:p>
      <w:pPr>
        <w:pStyle w:val="Normal"/>
        <w:jc w:val="center"/>
        <w:rPr>
          <w:b w:val="false"/>
          <w:b w:val="false"/>
          <w:sz w:val="20"/>
          <w:szCs w:val="20"/>
        </w:rPr>
      </w:pPr>
      <w:r>
        <w:rPr/>
      </w:r>
    </w:p>
    <w:tbl>
      <w:tblPr>
        <w:tblStyle w:val="a3"/>
        <w:tblW w:w="14040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5"/>
        <w:gridCol w:w="4111"/>
        <w:gridCol w:w="3260"/>
        <w:gridCol w:w="1985"/>
        <w:gridCol w:w="2126"/>
        <w:gridCol w:w="2132"/>
      </w:tblGrid>
      <w:tr>
        <w:trPr>
          <w:trHeight w:val="652" w:hRule="atLeast"/>
        </w:trPr>
        <w:tc>
          <w:tcPr>
            <w:tcW w:w="425" w:type="dxa"/>
            <w:vMerge w:val="restart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111" w:type="dxa"/>
            <w:vMerge w:val="restart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260" w:type="dxa"/>
            <w:vMerge w:val="restart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  <w:t>Ответственный исполнитель (соисполнитель)</w:t>
            </w:r>
          </w:p>
        </w:tc>
        <w:tc>
          <w:tcPr>
            <w:tcW w:w="4111" w:type="dxa"/>
            <w:gridSpan w:val="2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  <w:t xml:space="preserve">Срок реализации муниципальной программы </w:t>
            </w:r>
          </w:p>
        </w:tc>
        <w:tc>
          <w:tcPr>
            <w:tcW w:w="2132" w:type="dxa"/>
            <w:vMerge w:val="restart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  <w:t>Ожидаемый, непосредственный  результат (краткое описание)</w:t>
            </w:r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4111" w:type="dxa"/>
            <w:vMerge w:val="continue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3260" w:type="dxa"/>
            <w:vMerge w:val="continue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  <w:t xml:space="preserve">начало </w:t>
            </w:r>
          </w:p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  <w:t>реализации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  <w:t>окончание реализации</w:t>
            </w:r>
          </w:p>
        </w:tc>
        <w:tc>
          <w:tcPr>
            <w:tcW w:w="2132" w:type="dxa"/>
            <w:vMerge w:val="continue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25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  <w:t>1.</w:t>
            </w:r>
          </w:p>
        </w:tc>
        <w:tc>
          <w:tcPr>
            <w:tcW w:w="4111" w:type="dxa"/>
            <w:tcBorders/>
          </w:tcPr>
          <w:p>
            <w:pPr>
              <w:pStyle w:val="Normal"/>
              <w:rPr>
                <w:b w:val="false"/>
                <w:b w:val="false"/>
                <w:sz w:val="20"/>
                <w:szCs w:val="20"/>
              </w:rPr>
            </w:pPr>
            <w:r>
              <w:rPr/>
              <w:t>Муниципальная  программа</w:t>
            </w:r>
          </w:p>
        </w:tc>
        <w:tc>
          <w:tcPr>
            <w:tcW w:w="3260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  <w:t>2.</w:t>
            </w:r>
          </w:p>
        </w:tc>
        <w:tc>
          <w:tcPr>
            <w:tcW w:w="4111" w:type="dxa"/>
            <w:tcBorders/>
          </w:tcPr>
          <w:p>
            <w:pPr>
              <w:pStyle w:val="Normal"/>
              <w:rPr>
                <w:b w:val="false"/>
                <w:b w:val="false"/>
                <w:sz w:val="20"/>
                <w:szCs w:val="20"/>
              </w:rPr>
            </w:pPr>
            <w:r>
              <w:rPr/>
              <w:t>Подпрограмма (при наличии)</w:t>
            </w:r>
          </w:p>
        </w:tc>
        <w:tc>
          <w:tcPr>
            <w:tcW w:w="3260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  <w:t xml:space="preserve">3. </w:t>
            </w:r>
          </w:p>
        </w:tc>
        <w:tc>
          <w:tcPr>
            <w:tcW w:w="4111" w:type="dxa"/>
            <w:tcBorders/>
          </w:tcPr>
          <w:p>
            <w:pPr>
              <w:pStyle w:val="Normal"/>
              <w:rPr>
                <w:b w:val="false"/>
                <w:b w:val="false"/>
                <w:sz w:val="20"/>
                <w:szCs w:val="20"/>
              </w:rPr>
            </w:pPr>
            <w:r>
              <w:rPr/>
              <w:t>Отдельные мероприятия (при наличии)</w:t>
            </w:r>
          </w:p>
        </w:tc>
        <w:tc>
          <w:tcPr>
            <w:tcW w:w="3260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4111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3260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jc w:val="right"/>
        <w:rPr>
          <w:b w:val="false"/>
          <w:b w:val="false"/>
          <w:sz w:val="20"/>
          <w:szCs w:val="20"/>
        </w:rPr>
      </w:pPr>
      <w:r>
        <w:rPr/>
        <w:t xml:space="preserve">   </w:t>
      </w:r>
    </w:p>
    <w:p>
      <w:pPr>
        <w:pStyle w:val="Normal"/>
        <w:jc w:val="right"/>
        <w:rPr>
          <w:rStyle w:val="Style14"/>
          <w:b w:val="false"/>
          <w:b w:val="false"/>
          <w:sz w:val="20"/>
          <w:szCs w:val="20"/>
        </w:rPr>
      </w:pPr>
      <w:r>
        <w:rPr>
          <w:rStyle w:val="Style14"/>
          <w:b w:val="false"/>
          <w:sz w:val="20"/>
          <w:szCs w:val="20"/>
        </w:rPr>
        <w:t>Приложение № 2</w:t>
      </w:r>
    </w:p>
    <w:p>
      <w:pPr>
        <w:pStyle w:val="Normal"/>
        <w:jc w:val="right"/>
        <w:rPr>
          <w:rStyle w:val="Style14"/>
          <w:b w:val="false"/>
          <w:b w:val="false"/>
          <w:sz w:val="20"/>
          <w:szCs w:val="20"/>
        </w:rPr>
      </w:pPr>
      <w:r>
        <w:rPr>
          <w:rStyle w:val="Style14"/>
          <w:b w:val="fals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Style w:val="Style14"/>
          <w:b w:val="false"/>
          <w:sz w:val="20"/>
          <w:szCs w:val="20"/>
        </w:rPr>
        <w:t xml:space="preserve">к Постановлению администрации Дальнереченского муниципального района                                                                                                 </w:t>
      </w:r>
    </w:p>
    <w:p>
      <w:pPr>
        <w:pStyle w:val="Normal"/>
        <w:rPr>
          <w:rStyle w:val="Style14"/>
          <w:b w:val="false"/>
          <w:b w:val="false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от  </w:t>
      </w:r>
      <w:r>
        <w:rPr>
          <w:sz w:val="20"/>
          <w:szCs w:val="20"/>
          <w:u w:val="single"/>
        </w:rPr>
        <w:t xml:space="preserve"> 14 сентября 2022 </w:t>
      </w:r>
      <w:r>
        <w:rPr>
          <w:sz w:val="20"/>
          <w:szCs w:val="20"/>
        </w:rPr>
        <w:t>г.</w:t>
      </w:r>
      <w:r>
        <w:rPr>
          <w:sz w:val="20"/>
          <w:szCs w:val="20"/>
          <w:u w:val="single"/>
        </w:rPr>
        <w:t xml:space="preserve"> № 527 - па</w:t>
      </w:r>
      <w:r>
        <w:rPr>
          <w:rStyle w:val="Style14"/>
          <w:b w:val="fals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>Ресурсное обеспечение реализации муниципальной программы Дальнереченского муниципального района</w:t>
      </w:r>
    </w:p>
    <w:p>
      <w:pPr>
        <w:pStyle w:val="Normal"/>
        <w:jc w:val="center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</w:r>
    </w:p>
    <w:tbl>
      <w:tblPr>
        <w:tblW w:w="15735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8"/>
        <w:gridCol w:w="2692"/>
        <w:gridCol w:w="709"/>
        <w:gridCol w:w="710"/>
        <w:gridCol w:w="567"/>
        <w:gridCol w:w="708"/>
        <w:gridCol w:w="1985"/>
        <w:gridCol w:w="992"/>
        <w:gridCol w:w="1134"/>
        <w:gridCol w:w="850"/>
        <w:gridCol w:w="851"/>
        <w:gridCol w:w="991"/>
        <w:gridCol w:w="2977"/>
      </w:tblGrid>
      <w:tr>
        <w:trPr>
          <w:trHeight w:val="266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в разрезе источников,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48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(распорядитель) бюджетных средств, ответственный исполнитель, соисполнитель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 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20__г.</w:t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>
        <w:trPr>
          <w:trHeight w:val="58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Программы_______</w:t>
            </w:r>
          </w:p>
          <w:p>
            <w:pPr>
              <w:pStyle w:val="Normal"/>
              <w:widowControl w:val="false"/>
              <w:suppressAutoHyphens w:val="tru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9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(при наличии)____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32" w:hRule="atLeast"/>
        </w:trPr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основных мероприятий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наличии)_______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Наименование направлений реализации основного мероприятия </w:t>
            </w:r>
          </w:p>
          <w:p>
            <w:pPr>
              <w:pStyle w:val="Normal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(при необходимости)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45" w:hRule="atLeast"/>
        </w:trPr>
        <w:tc>
          <w:tcPr>
            <w:tcW w:w="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35" w:hRule="atLeast"/>
        </w:trPr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079" w:right="899" w:header="0" w:top="851" w:footer="708" w:bottom="765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b w:val="false"/>
          <w:b w:val="false"/>
          <w:sz w:val="22"/>
          <w:szCs w:val="22"/>
        </w:rPr>
      </w:pPr>
      <w:r>
        <w:rPr/>
      </w:r>
    </w:p>
    <w:sectPr>
      <w:footerReference w:type="default" r:id="rId5"/>
      <w:type w:val="nextPage"/>
      <w:pgSz w:orient="landscape" w:w="16838" w:h="11906"/>
      <w:pgMar w:left="1079" w:right="899" w:header="0" w:top="1440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79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741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741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77c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643a6b"/>
    <w:rPr>
      <w:b/>
      <w:bCs/>
    </w:rPr>
  </w:style>
  <w:style w:type="character" w:styleId="Style14" w:customStyle="1">
    <w:name w:val="Цветовое выделение"/>
    <w:qFormat/>
    <w:rsid w:val="007843fe"/>
    <w:rPr>
      <w:b/>
      <w:bCs/>
      <w:color w:val="26282F"/>
    </w:rPr>
  </w:style>
  <w:style w:type="character" w:styleId="Pagenumber">
    <w:name w:val="page number"/>
    <w:basedOn w:val="DefaultParagraphFont"/>
    <w:qFormat/>
    <w:rsid w:val="009b1059"/>
    <w:rPr/>
  </w:style>
  <w:style w:type="character" w:styleId="Style15" w:customStyle="1">
    <w:name w:val="Текст выноски Знак"/>
    <w:basedOn w:val="DefaultParagraphFont"/>
    <w:link w:val="a8"/>
    <w:qFormat/>
    <w:rsid w:val="00957d35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a"/>
    <w:qFormat/>
    <w:rsid w:val="000845ab"/>
    <w:rPr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0c5912"/>
    <w:rPr>
      <w:rFonts w:ascii="Arial" w:hAnsi="Arial" w:cs="Aria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nformat" w:customStyle="1">
    <w:name w:val="ConsPlusNonformat"/>
    <w:qFormat/>
    <w:rsid w:val="00573fb7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573fb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qFormat/>
    <w:rsid w:val="00573fb7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ed1f87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rsid w:val="009b105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qFormat/>
    <w:rsid w:val="00957d35"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b"/>
    <w:rsid w:val="000845a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d0bf0"/>
    <w:pPr>
      <w:spacing w:before="0" w:after="0"/>
      <w:ind w:left="720" w:hanging="0"/>
      <w:contextualSpacing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43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6729-12F4-4202-A77A-7CDC0ACF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Application>LibreOffice/6.4.4.2$Linux_X86_64 LibreOffice_project/40$Build-2</Application>
  <Pages>5</Pages>
  <Words>779</Words>
  <Characters>5861</Characters>
  <CharactersWithSpaces>8214</CharactersWithSpaces>
  <Paragraphs>117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2022-06-28T05:32:00Z</dcterms:created>
  <dc:creator>User</dc:creator>
  <dc:description/>
  <dc:language>ru-RU</dc:language>
  <cp:lastModifiedBy/>
  <cp:lastPrinted>2022-09-28T10:22:08Z</cp:lastPrinted>
  <dcterms:modified xsi:type="dcterms:W3CDTF">2022-09-28T10:21:52Z</dcterms:modified>
  <cp:revision>17</cp:revision>
  <dc:subject/>
  <dc:title>АДМИНИСТРАЦИЯ НАДЕЖДИНСКОГО МУНИЦИПАЛЬНОГО РАЙОНА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