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ПРОЕКТ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Я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>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 внесении изменений в муниципальную программу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2021-2024 годах"</w:t>
      </w:r>
      <w:bookmarkStart w:id="0" w:name="_Hlk50366975"/>
      <w:bookmarkEnd w:id="0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54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Руководствуясь Уставом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,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администрация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Внести в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утвержденную Постановлением администрации Дальнереченского муниципального района от 29.07.2021г. № 330-па (далее-  Программа) следующие изменения:</w:t>
      </w:r>
    </w:p>
    <w:p>
      <w:pPr>
        <w:pStyle w:val="ListParagraph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 паспорте программы строку «Объемы и источники финансирования программы по годам» изложить в следующей редакции: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«Объемы финансирования программы составляет 6372,20 тыс. рублей, в том числе за счет средств краевого бюджета-4605,00 тыс. рублей, районного бюджета – 1767,20 тыс.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 тыс. рублей; 2022 год- 1535,00 тыс. рублей; 2023 год – 1535,0тыс. рублей; 2024 год – 1535,0 тыс. рублей;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366,70 тыс. рублей; 2022 год -622,5 тыс. рублей; 2023 год – 389,0 тыс. рублей; 2024год – 389,0 тыс.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1.2. В разделе 2.6. «Общий объем финансовых ресурсов, необходимых для реализации программы» второй абзац изложить в следующей редакции: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Общий объем финансирования программы составляет 6372,20 тыс. рублей, из них: из краевого бюджета-4605,00 тыс. рублей, из районного бюджета – 1767,20 тыс.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 тыс. рублей; 2022 год- 1535,00 тыс. рублей; 2023 год – 1535,00 тыс. рублей; 2024 год – 1535,00 тыс. рублей;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366,70 тыс. рублей; 2022 год -622,5 тыс. рублей; 2023 год – 389,0 тыс. рублей; 2024год – 389,0 тыс.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период».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1.3. Изложить приложение № 1 к программе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 в редакции приложения № 1 к настоящему постановлению.            </w:t>
      </w:r>
    </w:p>
    <w:p>
      <w:pPr>
        <w:pStyle w:val="Normal"/>
        <w:widowControl/>
        <w:numPr>
          <w:ilvl w:val="0"/>
          <w:numId w:val="1"/>
        </w:numPr>
        <w:spacing w:beforeAutospacing="1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Глава Дальнереченского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муниципального района                                  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               </w:t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  <w:bookmarkStart w:id="2" w:name="bookmark0"/>
      <w:bookmarkStart w:id="3" w:name="bookmark0"/>
      <w:bookmarkEnd w:id="3"/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2021-2024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2021-2024 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1064"/>
        <w:gridCol w:w="970"/>
        <w:gridCol w:w="1063"/>
        <w:gridCol w:w="970"/>
        <w:gridCol w:w="1064"/>
        <w:gridCol w:w="968"/>
        <w:gridCol w:w="1102"/>
        <w:gridCol w:w="970"/>
        <w:gridCol w:w="1064"/>
        <w:gridCol w:w="1316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366700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366700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2157500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1924000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1924000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6372200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1767200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366700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366700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2157500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1924000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1924000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6372200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1767200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1535000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4605000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1535000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4605000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265700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265700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845000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845700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265700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265700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845700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31000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31000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485500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485500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485500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485500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60" w:hanging="75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790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150" w:hanging="1440"/>
      </w:pPr>
    </w:lvl>
    <w:lvl w:ilvl="7">
      <w:start w:val="1"/>
      <w:numFmt w:val="decimal"/>
      <w:lvlText w:val="%1.%2.%3.%4.%5.%6.%7.%8"/>
      <w:lvlJc w:val="left"/>
      <w:pPr>
        <w:ind w:left="2510" w:hanging="1800"/>
      </w:pPr>
    </w:lvl>
    <w:lvl w:ilvl="8">
      <w:start w:val="1"/>
      <w:numFmt w:val="decimal"/>
      <w:lvlText w:val="%1.%2.%3.%4.%5.%6.%7.%8.%9"/>
      <w:lvlJc w:val="left"/>
      <w:pPr>
        <w:ind w:left="251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1C53-1F3C-4440-810F-556D8FAB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LibreOffice/6.4.4.2$Linux_X86_64 LibreOffice_project/40$Build-2</Application>
  <Pages>5</Pages>
  <Words>765</Words>
  <Characters>5286</Characters>
  <CharactersWithSpaces>6545</CharactersWithSpaces>
  <Paragraphs>203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2021-12-28T05:05:00Z</cp:lastPrinted>
  <dcterms:modified xsi:type="dcterms:W3CDTF">2022-01-10T12:04:01Z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