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media/image1.png" ContentType="image/png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/>
        <w:t xml:space="preserve"> </w:t>
      </w:r>
      <w:r>
        <w:rPr/>
        <w:drawing>
          <wp:inline distT="0" distB="0" distL="0" distR="0">
            <wp:extent cx="552450" cy="654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1"/>
        <w:widowControl/>
        <w:spacing w:lineRule="auto" w:line="240"/>
        <w:rPr/>
      </w:pPr>
      <w:r>
        <w:rPr/>
      </w:r>
    </w:p>
    <w:p>
      <w:pPr>
        <w:pStyle w:val="Normal"/>
        <w:jc w:val="center"/>
        <w:rPr>
          <w:rFonts w:ascii="Times New Roman" w:hAnsi="Times New Roman"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АДМИНИСТРАЦИЯ ДАЛЬНЕРЕЧЕНСКОГО МУНИЦИПАЛЬНОГО РАЙОНА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u w:val="none"/>
        </w:rPr>
      </w:pPr>
      <w:r>
        <w:rPr>
          <w:rFonts w:eastAsia="Times New Roman" w:cs="Times New Roman"/>
          <w:b/>
          <w:color w:val="auto"/>
          <w:kern w:val="0"/>
          <w:sz w:val="20"/>
          <w:szCs w:val="20"/>
          <w:u w:val="none"/>
          <w:lang w:val="ru-RU" w:eastAsia="ru-RU" w:bidi="ar-SA"/>
        </w:rPr>
        <w:t>15 ноября</w:t>
      </w:r>
      <w:r>
        <w:rPr>
          <w:b/>
          <w:sz w:val="20"/>
          <w:szCs w:val="20"/>
          <w:u w:val="none"/>
        </w:rPr>
        <w:t xml:space="preserve">  2021                                                 г. Дальнереченск                                                      №  </w:t>
      </w:r>
      <w:r>
        <w:rPr>
          <w:rFonts w:eastAsia="Times New Roman" w:cs="Times New Roman"/>
          <w:b/>
          <w:color w:val="auto"/>
          <w:kern w:val="0"/>
          <w:sz w:val="20"/>
          <w:szCs w:val="20"/>
          <w:u w:val="none"/>
          <w:lang w:val="ru-RU" w:eastAsia="ru-RU" w:bidi="ar-SA"/>
        </w:rPr>
        <w:t>501</w:t>
      </w:r>
      <w:r>
        <w:rPr>
          <w:b/>
          <w:sz w:val="20"/>
          <w:szCs w:val="20"/>
          <w:u w:val="none"/>
        </w:rPr>
        <w:t xml:space="preserve">  -па</w:t>
      </w:r>
    </w:p>
    <w:p>
      <w:pPr>
        <w:pStyle w:val="Normal"/>
        <w:jc w:val="both"/>
        <w:rPr>
          <w:b/>
          <w:b/>
          <w:sz w:val="20"/>
          <w:szCs w:val="20"/>
          <w:u w:val="none"/>
        </w:rPr>
      </w:pPr>
      <w:r>
        <w:rPr>
          <w:b/>
          <w:sz w:val="20"/>
          <w:szCs w:val="20"/>
          <w:u w:val="none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ConsTitle"/>
        <w:widowControl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О внесении изменений в муниципальную программу Дальнереченского муниципального района </w:t>
      </w:r>
      <w:r>
        <w:rPr>
          <w:rFonts w:cs="Times New Roman" w:ascii="Times New Roman" w:hAnsi="Times New Roman"/>
          <w:b/>
          <w:sz w:val="26"/>
          <w:szCs w:val="26"/>
        </w:rPr>
        <w:t>«Укрепление общественного здоровья на территории Дальнереченского муниципального района» на 2021-2024 годы»</w:t>
      </w:r>
    </w:p>
    <w:p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 Федеральными законами Российской Федерации от 06.10.2003 года № 131-ФЗ "Об общих принципах организации местного самоуправления в Российской Федерации, руководствуясь Уставом администрации Дальнереченского муниципального района,  администрация Дальнереченского муниципального района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ПОСТАНОВЛЯЕТ: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sz w:val="28"/>
          <w:szCs w:val="28"/>
        </w:rPr>
        <w:t xml:space="preserve">1.  Внести изменение в муниципальную программу, утвержденную постановлением администрации Дальнереченского муниципального района от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15 сентября 2021</w:t>
      </w:r>
      <w:r>
        <w:rPr>
          <w:sz w:val="28"/>
          <w:szCs w:val="28"/>
        </w:rPr>
        <w:t xml:space="preserve"> г.  №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414</w:t>
      </w:r>
      <w:r>
        <w:rPr>
          <w:sz w:val="28"/>
          <w:szCs w:val="28"/>
        </w:rPr>
        <w:t xml:space="preserve">-па: </w:t>
      </w:r>
    </w:p>
    <w:p>
      <w:pPr>
        <w:pStyle w:val="ConsTitle"/>
        <w:widowControl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1.1.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Изложить текст муниципальной программы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«Укрепление общественного здоровья на территории Дальнереченского муниципального района» на 2021-2024 годы»</w:t>
      </w:r>
    </w:p>
    <w:p>
      <w:pPr>
        <w:pStyle w:val="ConsTitle"/>
        <w:widowControl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в редакции приложения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№ 1 к настоящему постановлению.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sz w:val="28"/>
          <w:szCs w:val="28"/>
        </w:rPr>
        <w:t xml:space="preserve">1.2. Изложить перечень мероприятий по реализации муниципальной программы </w:t>
      </w:r>
      <w:r>
        <w:rPr>
          <w:b w:val="false"/>
          <w:bCs w:val="false"/>
          <w:sz w:val="26"/>
          <w:szCs w:val="26"/>
        </w:rPr>
        <w:t>«Укрепление общественного здоровья на территории Дальнереченского муниципального района» на 2021-2024 годы»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редакции приложения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№ 2 к настоящему постановлению.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2.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3. Отделу по работе с территориями и делопроизводством администрации Дальнереченского муниципального района обнародовать настоящее постановление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4.  Контроль за исполнением настоящего постановления возлагаю на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заместителя главы администрации Дальнереченского муниципального района  А. Г. Попова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sz w:val="28"/>
          <w:szCs w:val="28"/>
        </w:rPr>
        <w:t>5.  Настоящее постановление вступает в силу со дня его обнародования в установленном порядке.</w:t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Глава Дальнереченского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муниципального района                                                                      В.С. Дернов     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                                              </w:t>
      </w:r>
    </w:p>
    <w:p>
      <w:pPr>
        <w:pStyle w:val="Normal"/>
        <w:ind w:right="36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ind w:right="36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460" w:firstLine="4962"/>
        <w:rPr>
          <w:sz w:val="26"/>
          <w:szCs w:val="26"/>
        </w:rPr>
      </w:pPr>
      <w:r>
        <w:rPr>
          <w:sz w:val="26"/>
          <w:szCs w:val="26"/>
        </w:rPr>
        <w:t xml:space="preserve">УТВЕРЖДЕНА </w:t>
      </w:r>
    </w:p>
    <w:p>
      <w:pPr>
        <w:pStyle w:val="Normal"/>
        <w:ind w:right="-460" w:firstLine="4962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>
      <w:pPr>
        <w:pStyle w:val="Normal"/>
        <w:ind w:right="-460" w:firstLine="4962"/>
        <w:rPr>
          <w:sz w:val="26"/>
          <w:szCs w:val="26"/>
        </w:rPr>
      </w:pPr>
      <w:r>
        <w:rPr>
          <w:sz w:val="26"/>
          <w:szCs w:val="26"/>
        </w:rPr>
        <w:t xml:space="preserve">Дальнереченского муниципального </w:t>
      </w:r>
    </w:p>
    <w:p>
      <w:pPr>
        <w:pStyle w:val="Normal"/>
        <w:ind w:right="-460" w:hang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района </w:t>
      </w:r>
    </w:p>
    <w:p>
      <w:pPr>
        <w:pStyle w:val="Normal"/>
        <w:ind w:right="-460" w:firstLine="496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 15.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zh-CN" w:bidi="ar-SA"/>
        </w:rPr>
        <w:t>11.</w:t>
      </w:r>
      <w:r>
        <w:rPr>
          <w:sz w:val="26"/>
          <w:szCs w:val="26"/>
        </w:rPr>
        <w:t xml:space="preserve">2021г. №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zh-CN" w:bidi="ar-SA"/>
        </w:rPr>
        <w:t>501</w:t>
      </w:r>
      <w:r>
        <w:rPr>
          <w:sz w:val="26"/>
          <w:szCs w:val="26"/>
        </w:rPr>
        <w:t>-па</w:t>
      </w:r>
    </w:p>
    <w:p>
      <w:pPr>
        <w:pStyle w:val="Normal"/>
        <w:widowControl w:val="false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Муниципальная программа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«Укрепление общественного здоровья на территории Дальнереченского муниципального района» на 2021-2024 годы»</w:t>
      </w:r>
    </w:p>
    <w:p>
      <w:pPr>
        <w:pStyle w:val="Normal"/>
        <w:widowControl w:val="fals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ind w:left="72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Паспорт программы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528" w:type="dxa"/>
        <w:jc w:val="left"/>
        <w:tblInd w:w="21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394"/>
        <w:gridCol w:w="7133"/>
      </w:tblGrid>
      <w:tr>
        <w:trPr>
          <w:trHeight w:val="150" w:hRule="atLeast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SimSun"/>
                <w:color w:val="000000"/>
                <w:sz w:val="26"/>
                <w:szCs w:val="26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</w:rPr>
              <w:t xml:space="preserve">Наименование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SimSun"/>
                <w:color w:val="000000"/>
                <w:sz w:val="26"/>
                <w:szCs w:val="26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</w:rPr>
              <w:t>программы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SimSun"/>
                <w:color w:val="000000" w:themeColor="text1"/>
                <w:sz w:val="26"/>
                <w:szCs w:val="26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</w:rPr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Муниципальная программа «Укрепление общественного здоровья на территории  Дальнереченского муниципального района» на 2021-2024 годы</w:t>
            </w:r>
          </w:p>
        </w:tc>
      </w:tr>
      <w:tr>
        <w:trPr>
          <w:trHeight w:val="293" w:hRule="atLeast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26" w:leader="none"/>
              </w:tabs>
              <w:suppressAutoHyphens w:val="false"/>
              <w:jc w:val="both"/>
              <w:rPr/>
            </w:pP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1.Федеральный закон от 21.11.2011 </w:t>
            </w: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323-ФЗ «Об </w:t>
            </w:r>
            <w:hyperlink r:id="rId3">
              <w:r>
                <w:rPr>
                  <w:color w:val="000000" w:themeColor="text1"/>
                  <w:sz w:val="26"/>
                  <w:szCs w:val="26"/>
                </w:rPr>
                <w:t>основах охраны здоровья граждан в Российской</w:t>
              </w:r>
            </w:hyperlink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 Федерации»;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30" w:leader="none"/>
              </w:tabs>
              <w:suppressAutoHyphens w:val="false"/>
              <w:jc w:val="both"/>
              <w:rPr/>
            </w:pP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2.Концепция демографической политики </w:t>
            </w:r>
            <w:hyperlink r:id="rId4">
              <w:r>
                <w:rPr>
                  <w:color w:val="000000" w:themeColor="text1"/>
                  <w:sz w:val="26"/>
                  <w:szCs w:val="26"/>
                </w:rPr>
                <w:t>Российской Федерации на период до 2025 г. (Указ</w:t>
              </w:r>
            </w:hyperlink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 Президента РФ </w:t>
            </w: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>1351 от 09.10.2007);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2" w:leader="none"/>
              </w:tabs>
              <w:suppressAutoHyphens w:val="false"/>
              <w:jc w:val="both"/>
              <w:rPr/>
            </w:pP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3. Постановление Правительства РФ от 26.12.2017 </w:t>
            </w:r>
            <w:r>
              <w:rPr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>
              <w:rPr>
                <w:color w:val="000000" w:themeColor="text1"/>
                <w:sz w:val="26"/>
                <w:szCs w:val="26"/>
              </w:rPr>
              <w:t>1640 «Об утверждении государственной</w:t>
            </w: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 программы Российской Федерации «Развитие здравоохранения» (2018 - 2025 гг.);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 w:themeColor="text1"/>
                <w:sz w:val="26"/>
                <w:szCs w:val="26"/>
              </w:rPr>
              <w:t>4.</w:t>
            </w:r>
            <w:hyperlink r:id="rId5">
              <w:r>
                <w:rPr>
                  <w:color w:val="000000" w:themeColor="text1"/>
                  <w:sz w:val="26"/>
                  <w:szCs w:val="26"/>
                </w:rPr>
                <w:t>Федеральный закон Российской Федерации от</w:t>
              </w:r>
            </w:hyperlink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 23.02.2013 г. </w:t>
            </w: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>15-ФЗ «Об охране здоровья граждан от воздействия окружающего табачного дыма и последствий потребления табака»;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>5.</w:t>
            </w:r>
            <w:r>
              <w:rPr>
                <w:color w:val="000000" w:themeColor="text1"/>
                <w:sz w:val="26"/>
                <w:szCs w:val="26"/>
              </w:rPr>
              <w:t xml:space="preserve"> Приказа Министерства здравоохранения Приморского края от 30 января 2020 года №18/пр/100 «Об утверждении программы «Укрепление общественного здоровья на 2020-2024 годы» на территории Приморского края»</w:t>
            </w:r>
          </w:p>
          <w:p>
            <w:pPr>
              <w:pStyle w:val="2"/>
              <w:widowControl w:val="false"/>
              <w:shd w:val="clear" w:color="auto" w:fill="FFFFFF"/>
              <w:spacing w:lineRule="auto" w:before="0" w:after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color w:val="000000"/>
                <w:sz w:val="26"/>
                <w:szCs w:val="26"/>
                <w:shd w:fill="auto" w:val="clear"/>
                <w:lang w:eastAsia="zh-CN"/>
              </w:rPr>
              <w:t>6. Приказ Министерства здравоохранения РФ от 15 января 2020 г. №8 «Об утверждении Стратегии формирования здорового образа жизни населения, профилактики и контроля неинфекционных заболеваний на период до 2025 года</w:t>
            </w:r>
            <w:r>
              <w:rPr>
                <w:rStyle w:val="Style17"/>
                <w:rFonts w:cs="Times New Roman" w:ascii="Times New Roman" w:hAnsi="Times New Roman"/>
                <w:b w:val="false"/>
                <w:bCs/>
                <w:i w:val="false"/>
                <w:iCs/>
                <w:color w:val="000000"/>
                <w:sz w:val="26"/>
                <w:szCs w:val="26"/>
                <w:u w:val="none"/>
                <w:shd w:fill="auto" w:val="clear"/>
                <w:lang w:eastAsia="zh-CN"/>
              </w:rPr>
              <w:t>.</w:t>
            </w:r>
          </w:p>
          <w:p>
            <w:pPr>
              <w:pStyle w:val="2"/>
              <w:widowControl w:val="false"/>
              <w:shd w:val="clear" w:color="auto" w:fill="FFFFFF"/>
              <w:spacing w:lineRule="auto" w:before="0" w:after="0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b w:val="false"/>
                <w:bCs/>
                <w:i w:val="false"/>
                <w:iCs/>
                <w:color w:val="000000"/>
                <w:sz w:val="26"/>
                <w:szCs w:val="26"/>
                <w:u w:val="none"/>
                <w:shd w:fill="auto" w:val="clear"/>
                <w:lang w:eastAsia="zh-CN"/>
              </w:rPr>
              <w:t xml:space="preserve">7. </w:t>
            </w:r>
            <w:hyperlink r:id="rId6">
              <w:r>
                <w:rPr>
                  <w:rFonts w:cs="Times New Roman" w:ascii="Times New Roman" w:hAnsi="Times New Roman"/>
                  <w:b w:val="false"/>
                  <w:bCs/>
                  <w:i w:val="false"/>
                  <w:iCs/>
                  <w:color w:val="000000"/>
                  <w:sz w:val="26"/>
                  <w:szCs w:val="26"/>
                  <w:u w:val="none"/>
                  <w:shd w:fill="auto" w:val="clear"/>
                  <w:lang w:eastAsia="zh-CN"/>
                </w:rPr>
                <w:t>Постановление АПК № 920-па от 27.12.2019 "Об утверждении госпрограммы «Развитие физкультуры и спорта Приморского края» на 2020-2027 годы</w:t>
              </w:r>
            </w:hyperlink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8. Распоряжение главы Дальнереченского муниципального района от 02.09.2021г. № 311-ра «</w:t>
            </w:r>
            <w:r>
              <w:rPr>
                <w:sz w:val="26"/>
                <w:szCs w:val="26"/>
              </w:rPr>
              <w:t>О разработке проекта муниципальной программы «Укрепление общественного здоровья на территории Дальнереченского муниципального района» на 2021-2024 годы»</w:t>
            </w:r>
          </w:p>
        </w:tc>
      </w:tr>
      <w:tr>
        <w:trPr>
          <w:trHeight w:val="25" w:hRule="atLeast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5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Заказчик программы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Дальнереченского муниципального  района.</w:t>
            </w:r>
          </w:p>
        </w:tc>
      </w:tr>
      <w:tr>
        <w:trPr>
          <w:trHeight w:val="25" w:hRule="atLeast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Исполнитель программы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МКУ «Районный информационно-до</w:t>
            </w:r>
            <w:r>
              <w:rPr>
                <w:color w:val="000000" w:themeColor="text1"/>
                <w:sz w:val="26"/>
                <w:szCs w:val="26"/>
                <w:lang w:eastAsia="ru-RU"/>
              </w:rPr>
              <w:t>суговый</w:t>
            </w:r>
            <w:r>
              <w:rPr>
                <w:color w:val="000000" w:themeColor="text1"/>
                <w:sz w:val="26"/>
                <w:szCs w:val="26"/>
              </w:rPr>
              <w:t xml:space="preserve"> центр» Дальнереченского муниципального района»;</w:t>
            </w:r>
          </w:p>
        </w:tc>
      </w:tr>
      <w:tr>
        <w:trPr>
          <w:trHeight w:val="785" w:hRule="atLeast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109" w:afterAutospacing="0" w:after="109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МКУ «Управление народного образования» Дальнереченского муниципального района;</w:t>
            </w:r>
          </w:p>
          <w:p>
            <w:pPr>
              <w:pStyle w:val="NormalWeb"/>
              <w:widowControl w:val="false"/>
              <w:spacing w:before="109" w:after="109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КГБУЗ «Дальнереченская ЦГБ»;</w:t>
            </w:r>
          </w:p>
          <w:p>
            <w:pPr>
              <w:pStyle w:val="NormalWeb"/>
              <w:widowControl w:val="false"/>
              <w:spacing w:before="109" w:after="109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Отделение по Дальнереченскому городскому округу и Дальнереченскому муниципальному району КГКУ «Центр социальной поддержки населению по Приморскому краю»;</w:t>
            </w:r>
          </w:p>
          <w:p>
            <w:pPr>
              <w:pStyle w:val="NormalWeb"/>
              <w:widowControl w:val="false"/>
              <w:spacing w:before="109" w:after="109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Отдел ЗАГС администрации Дальнереченского муниципального района;</w:t>
            </w:r>
          </w:p>
          <w:p>
            <w:pPr>
              <w:pStyle w:val="NormalWeb"/>
              <w:widowControl w:val="false"/>
              <w:spacing w:beforeAutospacing="0" w:before="109" w:afterAutospacing="0" w:after="109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Комиссия по делам несовершеннолетних и защите их прав администрации Дальнереченского муниципального района.</w:t>
            </w:r>
          </w:p>
        </w:tc>
      </w:tr>
      <w:tr>
        <w:trPr>
          <w:trHeight w:val="319" w:hRule="atLeast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Цели программы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Обеспечение к 2024 году увеличения доли граждан, ведущих здоровый образ жизни посредством:</w:t>
            </w:r>
          </w:p>
          <w:p>
            <w:pPr>
              <w:pStyle w:val="Normal"/>
              <w:widowControl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формирования у населения мотивации к ведению здорового образа жизни, включая снижения потребления табака, алкоголя, увеличение физической активности, здоровое питание;</w:t>
            </w:r>
          </w:p>
          <w:p>
            <w:pPr>
              <w:pStyle w:val="Normal"/>
              <w:widowControl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увеличения количества жителей Дальнереченского муниципального района, ведущих здоровый образ жизни;</w:t>
            </w:r>
          </w:p>
          <w:p>
            <w:pPr>
              <w:pStyle w:val="Normal"/>
              <w:widowControl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создание условий и возможностей для ведения здорового образа жизни.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color w:val="000000"/>
                <w:sz w:val="26"/>
                <w:szCs w:val="26"/>
                <w:highlight w:val="yellow"/>
                <w:u w:val="none" w:color="000000"/>
              </w:rPr>
            </w:pPr>
            <w:r>
              <w:rPr>
                <w:color w:val="000000"/>
                <w:sz w:val="26"/>
                <w:szCs w:val="26"/>
                <w:highlight w:val="yellow"/>
                <w:u w:val="none" w:color="000000"/>
              </w:rPr>
            </w:r>
          </w:p>
        </w:tc>
      </w:tr>
      <w:tr>
        <w:trPr>
          <w:trHeight w:val="73" w:hRule="atLeast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Задачи программы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Формирование среды, способствующей ведению гражданами здорового образа жизни, включая здоровое питание, защиту от табачного дыма, снижение потребления алкоголя; 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  Мотивирование граждан к ведению здорового образа жизни посредством проведения информационно-коммуникационной кампании; </w:t>
            </w:r>
          </w:p>
          <w:p>
            <w:pPr>
              <w:pStyle w:val="NormalWeb"/>
              <w:widowControl w:val="false"/>
              <w:spacing w:before="280" w:after="280"/>
              <w:rPr>
                <w:sz w:val="26"/>
                <w:szCs w:val="26"/>
              </w:rPr>
            </w:pPr>
            <w:r>
              <w:rPr>
                <w:rFonts w:eastAsia="Symbol" w:cs="Symbol" w:ascii="Symbol" w:hAnsi="Symbol"/>
                <w:sz w:val="26"/>
                <w:szCs w:val="26"/>
              </w:rPr>
              <w:t>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Создание межведомственного взаимодействия по вопросам укрепления здоровья населения; </w:t>
            </w:r>
          </w:p>
          <w:p>
            <w:pPr>
              <w:pStyle w:val="NormalWeb"/>
              <w:widowControl w:val="false"/>
              <w:spacing w:before="280" w:after="280"/>
              <w:rPr>
                <w:sz w:val="26"/>
                <w:szCs w:val="26"/>
              </w:rPr>
            </w:pPr>
            <w:r>
              <w:rPr>
                <w:rFonts w:eastAsia="Symbol" w:cs="Symbol" w:ascii="Symbol" w:hAnsi="Symbol"/>
                <w:sz w:val="26"/>
                <w:szCs w:val="26"/>
              </w:rPr>
              <w:t>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Снижение уровня потребления и незаконного распространения наркотических средств и психотропных веществ; </w:t>
            </w:r>
          </w:p>
          <w:p>
            <w:pPr>
              <w:pStyle w:val="NormalWeb"/>
              <w:widowControl w:val="false"/>
              <w:spacing w:before="280" w:after="280"/>
              <w:rPr>
                <w:sz w:val="26"/>
                <w:szCs w:val="26"/>
              </w:rPr>
            </w:pPr>
            <w:r>
              <w:rPr>
                <w:rFonts w:eastAsia="Symbol" w:cs="Symbol" w:ascii="Symbol" w:hAnsi="Symbol"/>
                <w:sz w:val="26"/>
                <w:szCs w:val="26"/>
              </w:rPr>
              <w:t>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Увеличение физической активности Дальнереченского муниципального района;</w:t>
            </w:r>
          </w:p>
          <w:p>
            <w:pPr>
              <w:pStyle w:val="NormalWeb"/>
              <w:widowControl w:val="false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Внедрение корпоративных программ укрепления здоровья сотрудников на рабочем месте;  </w:t>
            </w:r>
          </w:p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- Вовлечение волонтеров и некоммерческих общественных организаций Дальнереченского муниципального района  в мероприятия по укреплению общественного здоровья.</w:t>
            </w:r>
          </w:p>
        </w:tc>
      </w:tr>
      <w:tr>
        <w:trPr>
          <w:trHeight w:val="319" w:hRule="atLeast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textAlignment w:val="baseline"/>
              <w:rPr>
                <w:kern w:val="2"/>
                <w:sz w:val="26"/>
                <w:szCs w:val="26"/>
                <w:lang w:bidi="hi-IN"/>
              </w:rPr>
            </w:pPr>
            <w:r>
              <w:rPr>
                <w:kern w:val="2"/>
                <w:sz w:val="26"/>
                <w:szCs w:val="26"/>
                <w:lang w:bidi="hi-IN"/>
              </w:rPr>
              <w:t>Сроки реализации программы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napToGrid w:val="false"/>
              <w:jc w:val="both"/>
              <w:textAlignment w:val="baseline"/>
              <w:rPr>
                <w:rFonts w:eastAsia="Arial"/>
                <w:kern w:val="2"/>
                <w:sz w:val="26"/>
                <w:szCs w:val="26"/>
                <w:lang w:bidi="hi-IN"/>
              </w:rPr>
            </w:pPr>
            <w:r>
              <w:rPr>
                <w:rFonts w:eastAsia="Arial"/>
                <w:kern w:val="2"/>
                <w:sz w:val="26"/>
                <w:szCs w:val="26"/>
                <w:lang w:bidi="hi-IN"/>
              </w:rPr>
              <w:t>2021-2024 годы.</w:t>
            </w:r>
          </w:p>
        </w:tc>
      </w:tr>
      <w:tr>
        <w:trPr>
          <w:trHeight w:val="319" w:hRule="atLeast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Основные целевые индикаторы  эффективности реализации программы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52" w:afterAutospacing="0" w:after="52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Создана рабочая группа по разработке комплекса мер по движению за здоровый образ жизни в Дальнереченском муниципальном районе, ед. -1;</w:t>
            </w:r>
          </w:p>
          <w:p>
            <w:pPr>
              <w:pStyle w:val="NormalWeb"/>
              <w:widowControl w:val="false"/>
              <w:spacing w:before="52" w:after="52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Выделен грант лучшей организации, которая внедрила корпоративную программу укрепления здоровья сотрудников на рабочем месте, шт. – 1;</w:t>
            </w:r>
          </w:p>
          <w:p>
            <w:pPr>
              <w:pStyle w:val="NormalWeb"/>
              <w:widowControl w:val="false"/>
              <w:spacing w:before="52" w:after="52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Подготовлены информационные справки к заседанию рабочей группы по разработке комплекса мер по движению за здоровый образ жизни в Дальнереченском муниципальном районе 2 раза в год;</w:t>
            </w:r>
          </w:p>
          <w:p>
            <w:pPr>
              <w:pStyle w:val="NormalWeb"/>
              <w:widowControl w:val="false"/>
              <w:spacing w:before="52" w:after="52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Изготовлены листовки, шт. – 800;</w:t>
            </w:r>
          </w:p>
          <w:p>
            <w:pPr>
              <w:pStyle w:val="NormalWeb"/>
              <w:widowControl w:val="false"/>
              <w:spacing w:before="52" w:after="52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организаций, обеспечивших размещение на информационных стендах наглядной агитации санитарно-просветительской направленности и здорового образа жизни, ед. – 79;</w:t>
            </w:r>
          </w:p>
          <w:p>
            <w:pPr>
              <w:pStyle w:val="NormalWeb"/>
              <w:widowControl w:val="false"/>
              <w:spacing w:before="52" w:after="52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публикаций в средствах массовой информации, шт. –20;</w:t>
            </w:r>
          </w:p>
          <w:p>
            <w:pPr>
              <w:pStyle w:val="NormalWeb"/>
              <w:widowControl w:val="false"/>
              <w:spacing w:before="52" w:after="52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проведенных выставок, лекториев, шт. – 14;</w:t>
            </w:r>
          </w:p>
          <w:p>
            <w:pPr>
              <w:pStyle w:val="NormalWeb"/>
              <w:widowControl w:val="false"/>
              <w:spacing w:before="52" w:after="52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Создан пешеходный/ велосипедный маршрут, ед. – 2;</w:t>
            </w:r>
          </w:p>
          <w:p>
            <w:pPr>
              <w:pStyle w:val="NormalWeb"/>
              <w:widowControl w:val="false"/>
              <w:spacing w:before="52" w:after="52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созданных новых открытых плоскостных сооружений для занятий физической культурой и спортом, ед.- 3;</w:t>
            </w:r>
          </w:p>
          <w:p>
            <w:pPr>
              <w:pStyle w:val="NormalWeb"/>
              <w:widowControl w:val="false"/>
              <w:spacing w:before="52" w:after="52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проведенных субботников в населенных пунктах с привлечением местных жителей, шт. – 240;</w:t>
            </w:r>
          </w:p>
          <w:p>
            <w:pPr>
              <w:pStyle w:val="NormalWeb"/>
              <w:widowControl w:val="false"/>
              <w:spacing w:before="52" w:after="52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Проведено лекций, бесед, классных часов,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полиции, шт. – 10;</w:t>
            </w:r>
          </w:p>
          <w:p>
            <w:pPr>
              <w:pStyle w:val="NormalWeb"/>
              <w:widowControl w:val="false"/>
              <w:spacing w:before="52" w:after="52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Проведено конкурсов по пропаганде ЗОЖ среди детей, подростков и их родителей, шт. – 4;</w:t>
            </w:r>
          </w:p>
          <w:p>
            <w:pPr>
              <w:pStyle w:val="NormalWeb"/>
              <w:widowControl w:val="false"/>
              <w:spacing w:before="109" w:after="109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Проведены оздоровительные кампании, шт. – 41;</w:t>
            </w:r>
          </w:p>
          <w:p>
            <w:pPr>
              <w:pStyle w:val="NormalWeb"/>
              <w:widowControl w:val="false"/>
              <w:spacing w:before="109" w:after="109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 ежегодный профилактический медицинский осмотр детей школьного возраста, чел – 700;</w:t>
            </w:r>
          </w:p>
          <w:p>
            <w:pPr>
              <w:pStyle w:val="NormalWeb"/>
              <w:widowControl w:val="false"/>
              <w:spacing w:before="109" w:after="109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Проведены массовые профилактические акции, направленные на формирование здорового образа жизни – 70;</w:t>
            </w:r>
          </w:p>
          <w:p>
            <w:pPr>
              <w:pStyle w:val="NormalWeb"/>
              <w:widowControl w:val="false"/>
              <w:spacing w:before="52" w:after="52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людей, прошедших диспансеризацию молодёжи и старшего поколения для выявления заболеваемости, чел. – 3290;</w:t>
            </w:r>
          </w:p>
          <w:p>
            <w:pPr>
              <w:pStyle w:val="NormalWeb"/>
              <w:widowControl w:val="false"/>
              <w:spacing w:before="52" w:after="52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Проведено консультаций по вопросам отказа от табакокурения в наркологическом кабинете в КГБУЗ «Дальнереченская ЦГБ», шт. – 65;</w:t>
            </w:r>
          </w:p>
          <w:p>
            <w:pPr>
              <w:pStyle w:val="NormalWeb"/>
              <w:widowControl w:val="false"/>
              <w:spacing w:beforeAutospacing="0" w:before="52" w:afterAutospacing="0" w:after="52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Сформировано новых коллективов/ возрастных групп/, ед. – 4.</w:t>
            </w:r>
          </w:p>
        </w:tc>
      </w:tr>
      <w:tr>
        <w:trPr>
          <w:trHeight w:val="251" w:hRule="atLeast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before="10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составляет 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113,6тыс. руб. ,в том числе по годам:</w:t>
            </w:r>
          </w:p>
          <w:p>
            <w:pPr>
              <w:pStyle w:val="Normal"/>
              <w:widowControl w:val="false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 8,5 тыс. рублей; </w:t>
            </w:r>
          </w:p>
          <w:p>
            <w:pPr>
              <w:pStyle w:val="Normal"/>
              <w:widowControl w:val="false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26,9</w:t>
            </w:r>
            <w:r>
              <w:rPr>
                <w:sz w:val="28"/>
                <w:szCs w:val="28"/>
              </w:rPr>
              <w:t xml:space="preserve">тыс. рублей; </w:t>
            </w:r>
          </w:p>
          <w:p>
            <w:pPr>
              <w:pStyle w:val="Normal"/>
              <w:widowControl w:val="false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40,6</w:t>
            </w:r>
            <w:r>
              <w:rPr>
                <w:sz w:val="28"/>
                <w:szCs w:val="28"/>
              </w:rPr>
              <w:t xml:space="preserve"> тыс. рублей; </w:t>
            </w:r>
          </w:p>
          <w:p>
            <w:pPr>
              <w:pStyle w:val="Normal"/>
              <w:widowControl w:val="false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37,6</w:t>
            </w:r>
            <w:r>
              <w:rPr>
                <w:sz w:val="28"/>
                <w:szCs w:val="28"/>
              </w:rPr>
              <w:t xml:space="preserve"> тыс. рублей </w:t>
            </w:r>
          </w:p>
          <w:p>
            <w:pPr>
              <w:pStyle w:val="Normal"/>
              <w:widowControl w:val="false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края составляет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918,1</w:t>
            </w:r>
            <w:r>
              <w:rPr>
                <w:sz w:val="28"/>
                <w:szCs w:val="28"/>
              </w:rPr>
              <w:t xml:space="preserve"> тыс руб, в том числе по годам:</w:t>
            </w:r>
          </w:p>
          <w:p>
            <w:pPr>
              <w:pStyle w:val="Normal"/>
              <w:widowControl w:val="false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0,0</w:t>
            </w:r>
            <w:r>
              <w:rPr>
                <w:sz w:val="28"/>
                <w:szCs w:val="28"/>
              </w:rPr>
              <w:t xml:space="preserve">  тыс.  рублей; </w:t>
            </w:r>
          </w:p>
          <w:p>
            <w:pPr>
              <w:pStyle w:val="Normal"/>
              <w:widowControl w:val="false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</w:t>
            </w: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zh-CN" w:bidi="ar-SA"/>
              </w:rPr>
              <w:t xml:space="preserve">331,5 </w:t>
            </w:r>
            <w:r>
              <w:rPr>
                <w:sz w:val="26"/>
                <w:szCs w:val="26"/>
              </w:rPr>
              <w:t xml:space="preserve">тыс. рублей; </w:t>
            </w:r>
          </w:p>
          <w:p>
            <w:pPr>
              <w:pStyle w:val="Normal"/>
              <w:widowControl w:val="false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</w:t>
            </w: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zh-CN" w:bidi="ar-SA"/>
              </w:rPr>
              <w:t>200,5</w:t>
            </w:r>
            <w:r>
              <w:rPr>
                <w:sz w:val="26"/>
                <w:szCs w:val="26"/>
              </w:rPr>
              <w:t xml:space="preserve">  тыс.  рублей; </w:t>
            </w:r>
          </w:p>
          <w:p>
            <w:pPr>
              <w:pStyle w:val="Normal"/>
              <w:widowControl w:val="false"/>
              <w:ind w:firstLine="708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2024 год – </w:t>
            </w: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zh-CN" w:bidi="ar-SA"/>
              </w:rPr>
              <w:t>386,1</w:t>
            </w:r>
            <w:r>
              <w:rPr>
                <w:color w:val="000000" w:themeColor="text1"/>
                <w:sz w:val="26"/>
                <w:szCs w:val="26"/>
              </w:rPr>
              <w:t xml:space="preserve"> тыс.  рублей </w:t>
            </w:r>
          </w:p>
          <w:p>
            <w:pPr>
              <w:pStyle w:val="Normal"/>
              <w:widowControl w:val="false"/>
              <w:ind w:right="19" w:hang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</w:p>
        </w:tc>
      </w:tr>
      <w:tr>
        <w:trPr>
          <w:trHeight w:val="13" w:hRule="atLeast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before="10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Ожидаемые конечные результаты выполнения программы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19" w:hang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Реализация программы в полном объеме будет способствовать улучшению здоровья, формированию навыков ведения здорового образа жизни у населения Дальнереченского муниципального района за счет повышения уровня санитарно-гигиенического просвещения и повышения уровня информированности населения Дальнереченского муниципального района по вопросам сохранения и укрепления здоровья.</w:t>
            </w:r>
          </w:p>
          <w:p>
            <w:pPr>
              <w:pStyle w:val="Normal"/>
              <w:widowControl w:val="false"/>
              <w:ind w:right="19" w:hang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Снижение распространенности курения табака среди населения. Повышение числа лиц, обратившихся к врачу для получения лечения от табачной зависимости.</w:t>
            </w:r>
          </w:p>
          <w:p>
            <w:pPr>
              <w:pStyle w:val="Normal"/>
              <w:widowControl w:val="false"/>
              <w:ind w:right="19" w:hang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Увеличение доли граждан, систематически занимающихся физической культурой и спортом, от общей численности населения до 56,2%.</w:t>
            </w:r>
          </w:p>
        </w:tc>
      </w:tr>
      <w:tr>
        <w:trPr>
          <w:trHeight w:val="13" w:hRule="atLeast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before="10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Организация контроля за выполнением программы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Общее руководство и контроль за исполнением Программы возлагается на </w:t>
            </w:r>
            <w:r>
              <w:rPr>
                <w:color w:val="000000" w:themeColor="text1"/>
                <w:sz w:val="26"/>
                <w:szCs w:val="26"/>
                <w:lang w:eastAsia="ru-RU"/>
              </w:rPr>
              <w:t>заместителя главы Дальнереченского муниципального района А.Г. Попова</w:t>
            </w:r>
          </w:p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color w:val="000000" w:themeColor="text1"/>
                <w:sz w:val="26"/>
                <w:szCs w:val="26"/>
              </w:rPr>
              <w:t>Текущее руководство и контроль за исполнением Программы возлагается на МКУ «Районный информационно-досуговый центр».</w:t>
            </w:r>
          </w:p>
        </w:tc>
      </w:tr>
    </w:tbl>
    <w:p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Муниципальная программа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«Укрепление общественного здоровья на территории Дальнереченского муниципального района на 2021-2024 годы»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1. Географическая характеристика Дальнереченского муниципального района</w:t>
      </w:r>
    </w:p>
    <w:p>
      <w:pPr>
        <w:pStyle w:val="Normal"/>
        <w:spacing w:before="0" w:after="0"/>
        <w:contextualSpacing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Дальнереченский муниципальный район расположен в центральной части Приморского края по западным склонам хребтов Сихотэ-Алиня, в бассейне реки Малиновка и части рек Большая Уссурка и Уссури. Дальнереченский муниципальный район граничит с шестью районами: на севере - с </w:t>
      </w:r>
      <w:hyperlink r:id="rId7" w:tgtFrame="Пожарский район">
        <w:r>
          <w:rPr>
            <w:sz w:val="26"/>
            <w:szCs w:val="26"/>
          </w:rPr>
          <w:t>Пожарским</w:t>
        </w:r>
      </w:hyperlink>
      <w:r>
        <w:rPr>
          <w:sz w:val="26"/>
          <w:szCs w:val="26"/>
        </w:rPr>
        <w:t xml:space="preserve">, на востоке - с </w:t>
      </w:r>
      <w:hyperlink r:id="rId8" w:tgtFrame="Красноармейский район (Приморский край)">
        <w:r>
          <w:rPr>
            <w:sz w:val="26"/>
            <w:szCs w:val="26"/>
          </w:rPr>
          <w:t>Красноармейским</w:t>
        </w:r>
      </w:hyperlink>
      <w:r>
        <w:rPr>
          <w:sz w:val="26"/>
          <w:szCs w:val="26"/>
        </w:rPr>
        <w:t xml:space="preserve">, на юге - с </w:t>
      </w:r>
      <w:hyperlink r:id="rId9" w:tgtFrame="Чугуевский район (Приморский край)">
        <w:r>
          <w:rPr>
            <w:sz w:val="26"/>
            <w:szCs w:val="26"/>
          </w:rPr>
          <w:t>Чугуевским</w:t>
        </w:r>
      </w:hyperlink>
      <w:r>
        <w:rPr>
          <w:sz w:val="26"/>
          <w:szCs w:val="26"/>
        </w:rPr>
        <w:t xml:space="preserve"> и Дальнергорским, на юго-западе с Лесозаводским и Кировским районами. С северо-западной стороны по реке Уссури Дальнереченский район граничит с Китайской Народной республикой. С севера на юг через Дальнереченский муниципальный район проходит автомобильная дорога общего пользования федерального значения А(А-370) и железная дорога, что связывают </w:t>
      </w:r>
      <w:hyperlink r:id="rId10">
        <w:r>
          <w:rPr>
            <w:sz w:val="26"/>
            <w:szCs w:val="26"/>
          </w:rPr>
          <w:t>Хабаровск</w:t>
        </w:r>
      </w:hyperlink>
      <w:r>
        <w:rPr>
          <w:sz w:val="26"/>
          <w:szCs w:val="26"/>
        </w:rPr>
        <w:t> и </w:t>
      </w:r>
      <w:hyperlink r:id="rId11">
        <w:r>
          <w:rPr>
            <w:sz w:val="26"/>
            <w:szCs w:val="26"/>
          </w:rPr>
          <w:t>Владивосток</w:t>
        </w:r>
      </w:hyperlink>
      <w:r>
        <w:rPr>
          <w:sz w:val="26"/>
          <w:szCs w:val="26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Общая площадь территории Дальнереченского муниципального района составляет: 7235 км².</w:t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C0DCC0" w:val="clear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i w:val="false"/>
          <w:i w:val="false"/>
          <w:color w:val="000000" w:themeColor="text1"/>
          <w:sz w:val="26"/>
          <w:szCs w:val="26"/>
        </w:rPr>
      </w:pPr>
      <w:r>
        <w:rPr>
          <w:rStyle w:val="Mwheadline"/>
          <w:rFonts w:cs="Times New Roman" w:ascii="Times New Roman" w:hAnsi="Times New Roman"/>
          <w:i w:val="false"/>
          <w:color w:val="000000" w:themeColor="text1"/>
          <w:sz w:val="26"/>
          <w:szCs w:val="26"/>
        </w:rPr>
        <w:t>2. Муниципально-территориальное устройство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На территории Дальнереченского муниципального района расположено </w:t>
      </w:r>
      <w:r>
        <w:rPr>
          <w:bCs/>
          <w:sz w:val="26"/>
          <w:szCs w:val="26"/>
        </w:rPr>
        <w:t>6 сельских поселений, включающих в себя 31 населённый пункт. Численность населения на 01.01.2021 года 8875 человек.</w:t>
      </w:r>
      <w:r>
        <w:rPr>
          <w:sz w:val="26"/>
          <w:szCs w:val="26"/>
        </w:rPr>
        <w:t xml:space="preserve">  Всё население является сельским.</w:t>
      </w:r>
    </w:p>
    <w:p>
      <w:pPr>
        <w:pStyle w:val="Normal"/>
        <w:spacing w:before="0" w:after="0"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tbl>
      <w:tblPr>
        <w:tblW w:w="9252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606"/>
        <w:gridCol w:w="2460"/>
        <w:gridCol w:w="2784"/>
        <w:gridCol w:w="1851"/>
        <w:gridCol w:w="1551"/>
      </w:tblGrid>
      <w:tr>
        <w:trPr>
          <w:trHeight w:val="63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Дальнереченский муниципальный район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Административный</w:t>
              <w:br/>
              <w:t>центр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Количество</w:t>
              <w:br/>
              <w:t>населённых</w:t>
              <w:br/>
              <w:t>пунктов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Население</w:t>
              <w:br/>
              <w:t>(чел.)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Веденкинское сельское поселение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село Веденка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2465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Малиновское сельское поселение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село Малиново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1937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Ореховское сельское поселение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село Орехово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1120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Ракитненское сельское поселение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село Ракитное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1228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Рождественское сельское поселение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село Рождественка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903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Сальское сельское поселение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село Сальское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1222</w:t>
            </w:r>
          </w:p>
        </w:tc>
      </w:tr>
    </w:tbl>
    <w:p>
      <w:pPr>
        <w:pStyle w:val="Normal"/>
        <w:spacing w:before="0" w:after="0"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3. Мониторинг состояния здоровья населения Дальнереченского муниципального района за 2019-2020 годы</w:t>
      </w:r>
    </w:p>
    <w:p>
      <w:pPr>
        <w:pStyle w:val="Normal"/>
        <w:jc w:val="both"/>
        <w:rPr>
          <w:color w:val="000000" w:themeColor="text1"/>
          <w:sz w:val="26"/>
          <w:szCs w:val="26"/>
          <w:highlight w:val="yellow"/>
        </w:rPr>
      </w:pPr>
      <w:r>
        <w:rPr>
          <w:color w:val="000000" w:themeColor="text1"/>
          <w:sz w:val="26"/>
          <w:szCs w:val="26"/>
          <w:highlight w:val="yellow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Современную демографическую ситуацию в Дальнереченском муниципальном районе, можно охарактеризовать как неблагоприятную. Среди важнейших проблем демографического развития района следует выделить следующее: сохраняющуюся депопуляцию (превышение числа умерших над числом родившихся) и старение населения (лиц в возрасте 60 лет и старше 25,6%) при общем снижении численности детского населения на 2,9%. Численность женщин фертильного возраста на территории района ежегодно снижается, за 3 года - 1,2%. Показатель рождаемости за 2020 год составил 1,07%. Численность трудоспособного населения снизилась на 291 человек.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 районе проживает демографически старое население, регрессивного типа со средним показателем общей смертности, средним показателем младенческой смертности и низким показателем рождаемости.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районе не развита инфраструктура, нет программы обеспечения жильем специалистов. Район продолжает оставаться не привлекательным для молодых специалистов.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2020году показатель смертности повысился в сравнении с 2019 годом среди всего населения на 1,01%.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сравнении с 2019г. наблюдается уменьшение процента смертности от внешних причин смерти на 25,0%.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Следует отметить уменьшение смертности от заболеваний органов пищеварения. Показатель смертности уменьшился на 15,4%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Смертность от болезней органов дыхания увеличилась на 62,5%.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Показатель смертности от злокачественных новообразований (далее – ЗНО) уменьшился на 28,6%.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Причиной запущенности онкологических больных является несвоевременное обращение за медицинской помощью, недостаточная настороженность специалистов первичного звена. В целях повышения онкологической настороженности среди медицинских работников проводятся регулярные врачебные и фельдшерские конференции по выявлению групп риска по ЗНО и начальных стадий злокачественных новообразований. В 2020 году осуществлялись </w:t>
      </w:r>
      <w:r>
        <w:rPr>
          <w:rFonts w:ascii="Roboto" w:hAnsi="Roboto"/>
          <w:sz w:val="26"/>
          <w:shd w:fill="FFFFFF" w:val="clear"/>
        </w:rPr>
        <w:t>комплексные выезды автопоезда</w:t>
      </w:r>
      <w:r>
        <w:rPr>
          <w:sz w:val="26"/>
          <w:szCs w:val="26"/>
        </w:rPr>
        <w:t xml:space="preserve"> «Поезд здоровья» в села района для консультативной помощи и целевых медицинских осмотров, методической помощи фельдшерам.</w:t>
      </w:r>
    </w:p>
    <w:p>
      <w:pPr>
        <w:pStyle w:val="Normal"/>
        <w:suppressAutoHyphens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Отмечается повышение уровня смертности по причине заболевания органов кровообращения на 76%. Возрастная структура смертности по причине заболевания органов кровообращения представлена: 79% пенсионеры (из них старше 75 лет 35%) и 21% трудоспособного возраста.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Высокий процент смертности мужчин трудоспособного возраста обусловлен бытовым пьянством, нерегулярным лечением гипертонической болезни, сердечно-сосудистой патологией, поздней обращаемостью по поводу заболеваний, вредными привычками (курение, злоупотребления алкоголем, нерациональное питание и др.), низкой приверженностью к здоровому образу жизни.</w:t>
      </w:r>
    </w:p>
    <w:p>
      <w:pPr>
        <w:pStyle w:val="Normal"/>
        <w:widowControl w:val="false"/>
        <w:ind w:firstLine="709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t xml:space="preserve">В 2020 году по данным мониторинга распространения факторов риска развития хронических неинфекционных заболеваний среди лиц взрослого населения района превалировали следующие факторы риска: </w:t>
      </w:r>
    </w:p>
    <w:p>
      <w:pPr>
        <w:pStyle w:val="Normal"/>
        <w:widowControl w:val="false"/>
        <w:ind w:firstLine="709"/>
        <w:jc w:val="both"/>
        <w:textAlignment w:val="baseline"/>
        <w:rPr>
          <w:rFonts w:eastAsia="Calibri"/>
          <w:kern w:val="2"/>
          <w:lang w:bidi="hi-IN"/>
        </w:rPr>
      </w:pPr>
      <w:r>
        <w:rPr>
          <w:rFonts w:eastAsia="Calibri"/>
          <w:kern w:val="2"/>
          <w:lang w:bidi="hi-IN"/>
        </w:rPr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28"/>
        <w:gridCol w:w="2099"/>
        <w:gridCol w:w="2102"/>
        <w:gridCol w:w="1930"/>
      </w:tblGrid>
      <w:tr>
        <w:trPr/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>
        <w:trPr/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 xml:space="preserve">нерациональное питание 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eastAsia="zh-CN"/>
              </w:rPr>
              <w:t>9,8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42,4%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46,5%</w:t>
            </w:r>
          </w:p>
        </w:tc>
      </w:tr>
      <w:tr>
        <w:trPr/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 xml:space="preserve">избыточная масса тела или ожирение 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/>
              </w:rPr>
              <w:t>18,2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20,6%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19,3%</w:t>
            </w:r>
          </w:p>
        </w:tc>
      </w:tr>
      <w:tr>
        <w:trPr/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 xml:space="preserve">повышенный уровень артериального давления 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/>
              </w:rPr>
              <w:t>12</w:t>
            </w:r>
            <w:r>
              <w:rPr>
                <w:sz w:val="26"/>
                <w:szCs w:val="26"/>
              </w:rPr>
              <w:t>,4%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/>
              </w:rPr>
              <w:t>13</w:t>
            </w:r>
            <w:r>
              <w:rPr>
                <w:sz w:val="26"/>
                <w:szCs w:val="26"/>
              </w:rPr>
              <w:t>,2%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16,1</w:t>
            </w: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%</w:t>
            </w:r>
          </w:p>
        </w:tc>
      </w:tr>
      <w:tr>
        <w:trPr/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повышенное содержание глюкозы в крови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/>
              </w:rPr>
              <w:t>20</w:t>
            </w:r>
            <w:r>
              <w:rPr>
                <w:sz w:val="26"/>
                <w:szCs w:val="26"/>
              </w:rPr>
              <w:t>,8%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22,3%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26,6 %</w:t>
            </w:r>
          </w:p>
        </w:tc>
      </w:tr>
      <w:tr>
        <w:trPr/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курение табака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40,1%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42,4%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44,8%</w:t>
            </w:r>
          </w:p>
        </w:tc>
      </w:tr>
      <w:tr>
        <w:trPr/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потребление алкоголя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42,8%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/>
              </w:rPr>
              <w:t>45</w:t>
            </w:r>
            <w:r>
              <w:rPr>
                <w:sz w:val="26"/>
                <w:szCs w:val="26"/>
              </w:rPr>
              <w:t>,3%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48,7%</w:t>
            </w:r>
          </w:p>
        </w:tc>
      </w:tr>
      <w:tr>
        <w:trPr/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 xml:space="preserve">низкая физическая активность 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32,2%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/>
              </w:rPr>
              <w:t>30</w:t>
            </w:r>
            <w:r>
              <w:rPr>
                <w:sz w:val="26"/>
                <w:szCs w:val="26"/>
              </w:rPr>
              <w:t>,4%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25,8%</w:t>
            </w:r>
          </w:p>
        </w:tc>
      </w:tr>
    </w:tbl>
    <w:p>
      <w:pPr>
        <w:pStyle w:val="Normal"/>
        <w:widowControl w:val="false"/>
        <w:ind w:firstLine="709"/>
        <w:jc w:val="both"/>
        <w:textAlignment w:val="baseline"/>
        <w:rPr>
          <w:rFonts w:eastAsia="Calibri"/>
          <w:kern w:val="2"/>
          <w:lang w:bidi="hi-IN"/>
        </w:rPr>
      </w:pPr>
      <w:r>
        <w:rPr>
          <w:rFonts w:eastAsia="Calibri"/>
          <w:kern w:val="2"/>
          <w:lang w:bidi="hi-IN"/>
        </w:rPr>
      </w:r>
    </w:p>
    <w:p>
      <w:pPr>
        <w:pStyle w:val="Normal"/>
        <w:widowControl w:val="false"/>
        <w:ind w:firstLine="709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t>В Д</w:t>
      </w:r>
      <w:r>
        <w:rPr>
          <w:rFonts w:eastAsia="Calibri"/>
          <w:kern w:val="2"/>
          <w:sz w:val="26"/>
          <w:szCs w:val="26"/>
          <w:lang w:eastAsia="zh-CN" w:bidi="hi-IN"/>
        </w:rPr>
        <w:t xml:space="preserve">альнереченском муниципальном </w:t>
      </w:r>
      <w:r>
        <w:rPr>
          <w:rFonts w:eastAsia="Calibri"/>
          <w:kern w:val="2"/>
          <w:sz w:val="26"/>
          <w:szCs w:val="26"/>
          <w:lang w:bidi="hi-IN"/>
        </w:rPr>
        <w:t xml:space="preserve">районе за последние </w:t>
      </w:r>
      <w:r>
        <w:rPr>
          <w:rFonts w:eastAsia="Calibri"/>
          <w:kern w:val="2"/>
          <w:sz w:val="26"/>
          <w:szCs w:val="26"/>
          <w:lang w:eastAsia="zh-CN" w:bidi="hi-IN"/>
        </w:rPr>
        <w:t>3</w:t>
      </w:r>
      <w:r>
        <w:rPr>
          <w:rFonts w:eastAsia="Calibri"/>
          <w:kern w:val="2"/>
          <w:sz w:val="26"/>
          <w:szCs w:val="26"/>
          <w:lang w:bidi="hi-IN"/>
        </w:rPr>
        <w:t xml:space="preserve"> </w:t>
      </w:r>
      <w:r>
        <w:rPr>
          <w:rFonts w:eastAsia="Calibri"/>
          <w:kern w:val="2"/>
          <w:sz w:val="26"/>
          <w:szCs w:val="26"/>
          <w:lang w:eastAsia="zh-CN" w:bidi="hi-IN"/>
        </w:rPr>
        <w:t>года</w:t>
      </w:r>
      <w:r>
        <w:rPr>
          <w:rFonts w:eastAsia="Calibri"/>
          <w:kern w:val="2"/>
          <w:sz w:val="26"/>
          <w:szCs w:val="26"/>
          <w:lang w:bidi="hi-IN"/>
        </w:rPr>
        <w:t xml:space="preserve"> при проведении профилактических медицинских осмотров и диспансеризации на основании анкетирования отмечается тенденция к </w:t>
      </w:r>
      <w:r>
        <w:rPr>
          <w:rFonts w:eastAsia="Calibri"/>
          <w:kern w:val="2"/>
          <w:sz w:val="26"/>
          <w:szCs w:val="26"/>
          <w:lang w:eastAsia="zh-CN" w:bidi="hi-IN"/>
        </w:rPr>
        <w:t>увеличению</w:t>
      </w:r>
      <w:r>
        <w:rPr>
          <w:rFonts w:eastAsia="Calibri"/>
          <w:kern w:val="2"/>
          <w:sz w:val="26"/>
          <w:szCs w:val="26"/>
          <w:lang w:bidi="hi-IN"/>
        </w:rPr>
        <w:t xml:space="preserve"> лиц с повышенным артериальным давлением, курящих и потребляющих алкоголь. Также наметилась тенденция к уменьшению числа лиц с избыточной массой тела. Однако около трети обследованного населения питаются нерационально, что может способствовать дальнейшему прогрессированию хронических неинфекционных заболеваний.</w:t>
      </w:r>
    </w:p>
    <w:p>
      <w:pPr>
        <w:pStyle w:val="Normal"/>
        <w:widowControl w:val="false"/>
        <w:ind w:firstLine="709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t xml:space="preserve">Население Дальнереченского муниципального района живет в сельской местности, занимается, в основном тяжелым сельскохозяйственным трудом. В районе значительно ограничен рынок труда, доходы населения значительно ниже, чем у городского населения. Слабо развита инфраструктура, низкая транспортная доступность. Обеспеченность населения медицинскими кадрами значительно низкая. </w:t>
      </w:r>
    </w:p>
    <w:p>
      <w:pPr>
        <w:pStyle w:val="Normal"/>
        <w:widowControl w:val="false"/>
        <w:ind w:firstLine="709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t xml:space="preserve">Таким образом, главными причинами замедления прироста населения и его естественной убыли являются снижение рождаемости, рост уровня общей смертности и старение населения. </w:t>
      </w:r>
    </w:p>
    <w:p>
      <w:pPr>
        <w:pStyle w:val="Normal"/>
        <w:widowControl w:val="false"/>
        <w:ind w:firstLine="709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t xml:space="preserve">К числу наиболее острых проблем демографической ситуации в Дальнереченском муниципальном районе относится проблема низкой продолжительности жизни. </w:t>
      </w:r>
    </w:p>
    <w:p>
      <w:pPr>
        <w:pStyle w:val="NormalWeb"/>
        <w:spacing w:before="280" w:after="280"/>
        <w:jc w:val="center"/>
        <w:rPr>
          <w:b/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>
        <w:rPr>
          <w:b/>
          <w:bCs/>
          <w:sz w:val="26"/>
          <w:szCs w:val="26"/>
        </w:rPr>
        <w:t>Содержание проблемы и обоснование необходимости ее решения программными методами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Дальнереченского муниципального района  «Укрепление общественного здоровья» на 2021-2024 годы  (далее – муниципальная программа) разработана согласно национальному проекту «Демография» в рамках реализации регионального проекта «Укрепление  общественного здоровья» «Формирование системы мотивации граждан к здоровому образу жизни, включая здоровое питание и отказ от вредных привычек», в соответствии с Положением «О создании условий для оказания медицинской помощи населению Дальнереченского района», утвержденным решением Думы Дальнереченского района от 25.02.2019г. № 20, с целью достижения высокого уровня здоровья настоящих и будущих поколений  жителей Дальнереченского муниципального района, в том числе формирования ответственного отношения населения к своему здоровью, создание условий для ведения здорового образа жизни, сохранения и развития человеческого потенциала.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Актуальность этой муниципальной программы очевидна, потому что 60% всех влияний на здоровье человека, на продолжительность его жизни – это его образ жизни. </w:t>
      </w:r>
      <w:r>
        <w:rPr>
          <w:sz w:val="26"/>
          <w:szCs w:val="26"/>
          <w:shd w:fill="FFFFFF" w:val="clear"/>
        </w:rPr>
        <w:t>Состояние здоровья - это важный показатель социального, экономического и экологического благополучия, показатель качества жизни населения.</w:t>
      </w:r>
      <w:r>
        <w:rPr>
          <w:sz w:val="26"/>
          <w:szCs w:val="26"/>
        </w:rPr>
        <w:t xml:space="preserve">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       </w:t>
      </w:r>
      <w:r>
        <w:rPr>
          <w:sz w:val="26"/>
          <w:szCs w:val="26"/>
        </w:rPr>
        <w:t xml:space="preserve">Доминирующими факторами риска, влияющими на возникновение заболевания, являются: гиподинамия, нерациональное питание, психическое перенапряжение, стрессы, вредные привычки, избыточная масса тела.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Повысить уровень здоровья, живущего и будущих поколений населения возможно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 В этой связи в КГБУЗ «Дальнереченская ЦГБ» создан кабинет медицинской профилактики, в котором ежегодно жители Дальнереченского муниципального района проходят медицинские осмотры.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Всё это диктует необходимость комплексного подхода: объединения различных ведомств, организации всех форм собственности, в том числе местных СМИ - ООО «Редакция газеты «Ударный фронт», гражданского общества, чья 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Так, ведение жителями 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Как следствием станет снижение расходов на амбулаторное содержание и лечение больных в больнице. Здоровый образ жизни населения, высокие показатели в области здравоохранения приведут к снижению выездной миграции и увеличению рождаемости, что положительно скажется на общей демографической обстановке.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Финансово-экономическим результатом от реализации данной муниципальной программы станет увеличение в бюджет налога на доходы физических лиц за счёт роста числа трудоспособного населения, снижения выплат по больничным листам, уменьшение времени нетрудоспособности, в том числе за больными детьми.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       </w:t>
      </w:r>
      <w:r>
        <w:rPr>
          <w:sz w:val="26"/>
          <w:szCs w:val="26"/>
        </w:rPr>
        <w:t xml:space="preserve">В основу успешной реализации муниципальной программы положены следующие принципы: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 xml:space="preserve">- программные мероприятия должны быть доступны для всех жителей вне зависимости от социального статуса, уровня доходов и места жительства; </w:t>
      </w:r>
    </w:p>
    <w:p>
      <w:pPr>
        <w:pStyle w:val="Normal"/>
        <w:ind w:firstLine="644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 xml:space="preserve">- программные мероприятия должны охватывать все возрастные и социальные группы населения: детей, молодёжь, трудоспособное население, граждан пожилого возраста. </w:t>
      </w:r>
    </w:p>
    <w:p>
      <w:pPr>
        <w:pStyle w:val="Normal"/>
        <w:ind w:firstLine="644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Основные цели, задачи</w:t>
      </w:r>
    </w:p>
    <w:p>
      <w:pPr>
        <w:pStyle w:val="Normal"/>
        <w:jc w:val="center"/>
        <w:rPr>
          <w:i/>
          <w:i/>
          <w:sz w:val="26"/>
          <w:szCs w:val="26"/>
        </w:rPr>
      </w:pPr>
      <w:r>
        <w:rPr>
          <w:i/>
          <w:sz w:val="26"/>
          <w:szCs w:val="26"/>
        </w:rPr>
      </w:r>
    </w:p>
    <w:p>
      <w:pPr>
        <w:pStyle w:val="Normal"/>
        <w:rPr>
          <w:i/>
          <w:i/>
          <w:sz w:val="26"/>
          <w:szCs w:val="26"/>
        </w:rPr>
      </w:pPr>
      <w:r>
        <w:rPr>
          <w:sz w:val="26"/>
          <w:szCs w:val="26"/>
        </w:rPr>
        <w:tab/>
        <w:t xml:space="preserve">Целями муниципальной программы являются: </w:t>
      </w:r>
    </w:p>
    <w:p>
      <w:pPr>
        <w:pStyle w:val="Normal"/>
        <w:widowControl w:val="false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 w:themeColor="text1"/>
          <w:sz w:val="26"/>
          <w:szCs w:val="26"/>
        </w:rPr>
        <w:t>формирования у населения мотивации к ведению здорового образа жизни, включая снижения потребления табака, алкоголя, увеличение физической активности, здоровое питание;</w:t>
      </w:r>
    </w:p>
    <w:p>
      <w:pPr>
        <w:pStyle w:val="Normal"/>
        <w:widowControl w:val="false"/>
        <w:jc w:val="both"/>
        <w:rPr>
          <w:color w:val="000000" w:themeColor="text1"/>
          <w:sz w:val="4"/>
          <w:szCs w:val="26"/>
        </w:rPr>
      </w:pPr>
      <w:r>
        <w:rPr>
          <w:color w:val="000000" w:themeColor="text1"/>
          <w:sz w:val="4"/>
          <w:szCs w:val="26"/>
        </w:rPr>
      </w:r>
    </w:p>
    <w:p>
      <w:pPr>
        <w:pStyle w:val="Normal"/>
        <w:widowControl w:val="false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увеличения количества жителей Дальнереченского муниципального района, ведущих здоровый образ жизни;</w:t>
      </w:r>
    </w:p>
    <w:p>
      <w:pPr>
        <w:pStyle w:val="Normal"/>
        <w:widowControl w:val="false"/>
        <w:jc w:val="both"/>
        <w:rPr>
          <w:color w:val="000000" w:themeColor="text1"/>
          <w:sz w:val="6"/>
          <w:szCs w:val="26"/>
        </w:rPr>
      </w:pPr>
      <w:r>
        <w:rPr>
          <w:color w:val="000000" w:themeColor="text1"/>
          <w:sz w:val="6"/>
          <w:szCs w:val="26"/>
        </w:rPr>
      </w:r>
    </w:p>
    <w:p>
      <w:pPr>
        <w:pStyle w:val="Normal"/>
        <w:widowControl w:val="false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создание условий и возможностей для ведения здорового образа жизни.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Задачами муниципальной программы являются: </w:t>
      </w:r>
    </w:p>
    <w:p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формирование среды, способствующей ведению гражданами здорового образа жизни, включая здоровое питание, защиту от табачного дыма, снижение потребления алкоголя; </w:t>
      </w:r>
    </w:p>
    <w:p>
      <w:pPr>
        <w:pStyle w:val="Default"/>
        <w:jc w:val="both"/>
        <w:rPr>
          <w:sz w:val="8"/>
          <w:szCs w:val="26"/>
        </w:rPr>
      </w:pPr>
      <w:r>
        <w:rPr>
          <w:sz w:val="8"/>
          <w:szCs w:val="26"/>
        </w:rPr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 мотивирование граждан к ведению здорового образа жизни посредством проведения информационно-коммуникационной кампании; </w:t>
      </w:r>
    </w:p>
    <w:p>
      <w:pPr>
        <w:pStyle w:val="Normal"/>
        <w:widowControl w:val="false"/>
        <w:jc w:val="both"/>
        <w:rPr>
          <w:sz w:val="10"/>
          <w:szCs w:val="26"/>
        </w:rPr>
      </w:pPr>
      <w:r>
        <w:rPr>
          <w:sz w:val="10"/>
          <w:szCs w:val="26"/>
        </w:rPr>
      </w:r>
    </w:p>
    <w:p>
      <w:pPr>
        <w:pStyle w:val="NormalWeb"/>
        <w:widowControl w:val="false"/>
        <w:spacing w:before="280" w:after="280"/>
        <w:rPr>
          <w:sz w:val="26"/>
          <w:szCs w:val="26"/>
        </w:rPr>
      </w:pPr>
      <w:r>
        <w:rPr>
          <w:rFonts w:eastAsia="Symbol" w:cs="Symbol" w:ascii="Symbol" w:hAnsi="Symbol"/>
          <w:sz w:val="26"/>
          <w:szCs w:val="26"/>
        </w:rPr>
        <w:t>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создание межведомственного взаимодействия по вопросам укрепления здоровья населения; </w:t>
      </w:r>
    </w:p>
    <w:p>
      <w:pPr>
        <w:pStyle w:val="NormalWeb"/>
        <w:widowControl w:val="false"/>
        <w:spacing w:before="280" w:after="280"/>
        <w:rPr>
          <w:sz w:val="26"/>
          <w:szCs w:val="26"/>
        </w:rPr>
      </w:pPr>
      <w:r>
        <w:rPr>
          <w:rFonts w:eastAsia="Symbol" w:cs="Symbol" w:ascii="Symbol" w:hAnsi="Symbol"/>
          <w:sz w:val="26"/>
          <w:szCs w:val="26"/>
        </w:rPr>
        <w:t>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снижение уровня потребления и незаконного распространения наркотических средств и психотропных веществ; </w:t>
      </w:r>
    </w:p>
    <w:p>
      <w:pPr>
        <w:pStyle w:val="NormalWeb"/>
        <w:widowControl w:val="false"/>
        <w:spacing w:before="280" w:after="280"/>
        <w:rPr>
          <w:sz w:val="26"/>
          <w:szCs w:val="26"/>
        </w:rPr>
      </w:pPr>
      <w:r>
        <w:rPr>
          <w:rFonts w:eastAsia="Symbol" w:cs="Symbol" w:ascii="Symbol" w:hAnsi="Symbol"/>
          <w:sz w:val="26"/>
          <w:szCs w:val="26"/>
        </w:rPr>
        <w:t>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увеличение физической активности населения Дальнереченского муниципального района;</w:t>
      </w:r>
    </w:p>
    <w:p>
      <w:pPr>
        <w:pStyle w:val="NormalWeb"/>
        <w:widowControl w:val="false"/>
        <w:spacing w:before="280" w:after="28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внедрение корпоративных программ укрепления здоровья сотрудников на рабочем месте;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- вовлечение волонтеров и некоммерческих общественных организаций Дальнереченского муниципального района в мероприятия по укреплению общественного здоровья.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Autospacing="0" w:before="0" w:afterAutospacing="0" w:after="0"/>
        <w:ind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Сроки и этапы реализации муниципальной программы</w:t>
      </w:r>
    </w:p>
    <w:p>
      <w:pPr>
        <w:pStyle w:val="Normal"/>
        <w:jc w:val="center"/>
        <w:rPr>
          <w:sz w:val="8"/>
          <w:szCs w:val="26"/>
        </w:rPr>
      </w:pPr>
      <w:r>
        <w:rPr>
          <w:sz w:val="8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реализуется в один этап в течение 2021 - 2024 годов с цикличной повторяемостью программных мероприятий. 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Сроки реализации и мероприятия могут конкретизироваться и уточняться с учетом принятых на муниципальном уровне нормативных правовых актов. 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 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Система мероприятий муниципальной программы</w:t>
      </w:r>
    </w:p>
    <w:p>
      <w:pPr>
        <w:pStyle w:val="Normal"/>
        <w:ind w:firstLine="708"/>
        <w:jc w:val="both"/>
        <w:rPr>
          <w:sz w:val="12"/>
          <w:szCs w:val="26"/>
        </w:rPr>
      </w:pPr>
      <w:r>
        <w:rPr>
          <w:sz w:val="12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программные мероприятия указаны в приложении № 1 к данной муниципальной программе.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Система мероприятий муниципальной программы для организации и разработки комплекса мер по реализации здорового образа жизни, снижению потребления алкогольной и табачной продукции среди различных групп населения, направленных на формирование здорового образа жизни у жителей, включает в себя следующие направления: </w:t>
      </w:r>
    </w:p>
    <w:tbl>
      <w:tblPr>
        <w:tblStyle w:val="aff6"/>
        <w:tblW w:w="9528" w:type="dxa"/>
        <w:jc w:val="left"/>
        <w:tblInd w:w="-142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9528"/>
      </w:tblGrid>
      <w:tr>
        <w:trPr/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708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val="ru-RU" w:bidi="ar-SA"/>
              </w:rPr>
              <w:t>1. Мероприятия по формированию и функционированию общественного совета из числа жителей</w:t>
            </w:r>
          </w:p>
        </w:tc>
      </w:tr>
      <w:tr>
        <w:trPr/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708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val="ru-RU" w:bidi="ar-SA"/>
              </w:rPr>
              <w:t xml:space="preserve">2.  Мероприятия по выявлению и коррекции факторов риска основных хронических неинфекционных заболеваний у населения Дальнереченского муниципального района. </w:t>
            </w:r>
          </w:p>
        </w:tc>
      </w:tr>
      <w:tr>
        <w:trPr/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708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val="ru-RU" w:bidi="ar-SA"/>
              </w:rPr>
              <w:t>3.   Мероприятия по мотивированию граждан к ведению здорового образа жизни посредством проведения информационно-коммуникационной кампании через местные СМИ.</w:t>
            </w:r>
          </w:p>
        </w:tc>
      </w:tr>
      <w:tr>
        <w:trPr/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708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val="ru-RU" w:bidi="ar-SA"/>
              </w:rPr>
              <w:t>4.   Мероприятия по созданию среды способствующей ведению гражданами здорового образа жизни.</w:t>
            </w:r>
          </w:p>
        </w:tc>
      </w:tr>
      <w:tr>
        <w:trPr/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708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val="ru-RU" w:bidi="ar-SA"/>
              </w:rPr>
              <w:t>5.  Мероприятия по формированию здорового образа жизни, снижению потребления алкогольной продукции, пива и табака среди детей и подростков.</w:t>
            </w:r>
          </w:p>
        </w:tc>
      </w:tr>
      <w:tr>
        <w:trPr/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708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val="ru-RU" w:bidi="ar-SA"/>
              </w:rPr>
              <w:t>6. Мероприятия по профилактики потребления табачных изделий, алкогольной продукции и пива среди молодёжи.</w:t>
            </w:r>
          </w:p>
        </w:tc>
      </w:tr>
      <w:tr>
        <w:trPr/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708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val="ru-RU" w:bidi="ar-SA"/>
              </w:rPr>
              <w:t>7.  Мероприятия по организации физкультурно-спортивной работы по месту жительства граждан.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708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val="ru-RU" w:bidi="ar-SA"/>
              </w:rPr>
              <w:t>8. Мероприятия по вовлечению волонтеров и некоммерческих общественных организаций Дальнереченского муниципального района  в мероприятия по укреплению общественного здоровья.</w:t>
            </w:r>
          </w:p>
        </w:tc>
      </w:tr>
    </w:tbl>
    <w:p>
      <w:pPr>
        <w:pStyle w:val="Normal"/>
        <w:ind w:firstLine="708"/>
        <w:jc w:val="center"/>
        <w:rPr>
          <w:sz w:val="8"/>
          <w:szCs w:val="26"/>
        </w:rPr>
      </w:pPr>
      <w:r>
        <w:rPr>
          <w:sz w:val="8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8. Нормативно-правовое обеспечение 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>реализации муниципальной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/>
          <w:sz w:val="26"/>
          <w:szCs w:val="26"/>
          <w:lang w:eastAsia="ru-RU"/>
        </w:rPr>
        <w:t>Н</w:t>
      </w:r>
      <w:r>
        <w:rPr>
          <w:rFonts w:eastAsia="Times New Roman" w:cs="Times New Roman"/>
          <w:sz w:val="28"/>
          <w:szCs w:val="28"/>
          <w:lang w:eastAsia="ru-RU"/>
        </w:rPr>
        <w:t>а территории Дальнереченского муниципального района действуют нормативные правовые акты, в том числе:</w:t>
      </w:r>
    </w:p>
    <w:p>
      <w:pPr>
        <w:pStyle w:val="Normal"/>
        <w:widowControl w:val="false"/>
        <w:tabs>
          <w:tab w:val="clear" w:pos="708"/>
          <w:tab w:val="left" w:pos="326" w:leader="none"/>
        </w:tabs>
        <w:suppressAutoHyphens w:val="false"/>
        <w:jc w:val="both"/>
        <w:rPr/>
      </w:pPr>
      <w:r>
        <w:rPr>
          <w:rStyle w:val="22"/>
          <w:rFonts w:cs="Times New Roman"/>
          <w:color w:val="000000" w:themeColor="text1"/>
          <w:sz w:val="28"/>
          <w:szCs w:val="28"/>
        </w:rPr>
        <w:t xml:space="preserve">- Федеральный закон от 21.11.2011 </w:t>
      </w:r>
      <w:r>
        <w:rPr>
          <w:rStyle w:val="22"/>
          <w:rFonts w:cs="Times New Roman"/>
          <w:color w:val="000000" w:themeColor="text1"/>
          <w:sz w:val="28"/>
          <w:szCs w:val="28"/>
          <w:lang w:eastAsia="en-US" w:bidi="en-US"/>
        </w:rPr>
        <w:t xml:space="preserve">№ </w:t>
      </w:r>
      <w:r>
        <w:rPr>
          <w:rStyle w:val="22"/>
          <w:rFonts w:cs="Times New Roman"/>
          <w:color w:val="000000" w:themeColor="text1"/>
          <w:sz w:val="28"/>
          <w:szCs w:val="28"/>
        </w:rPr>
        <w:t xml:space="preserve">323-ФЗ «Об </w:t>
      </w:r>
      <w:hyperlink r:id="rId12">
        <w:r>
          <w:rPr>
            <w:color w:val="000000" w:themeColor="text1"/>
            <w:sz w:val="28"/>
            <w:szCs w:val="28"/>
          </w:rPr>
          <w:t>основах охраны здоровья граждан в Российской</w:t>
        </w:r>
      </w:hyperlink>
      <w:r>
        <w:rPr>
          <w:rStyle w:val="22"/>
          <w:rFonts w:cs="Times New Roman"/>
          <w:color w:val="000000" w:themeColor="text1"/>
          <w:sz w:val="28"/>
          <w:szCs w:val="28"/>
        </w:rPr>
        <w:t xml:space="preserve"> Федерации»;</w:t>
      </w:r>
    </w:p>
    <w:p>
      <w:pPr>
        <w:pStyle w:val="Normal"/>
        <w:widowControl w:val="false"/>
        <w:tabs>
          <w:tab w:val="clear" w:pos="708"/>
          <w:tab w:val="left" w:pos="730" w:leader="none"/>
        </w:tabs>
        <w:suppressAutoHyphens w:val="false"/>
        <w:jc w:val="both"/>
        <w:rPr/>
      </w:pPr>
      <w:r>
        <w:rPr>
          <w:rStyle w:val="22"/>
          <w:rFonts w:cs="Times New Roman"/>
          <w:color w:val="000000" w:themeColor="text1"/>
          <w:sz w:val="28"/>
          <w:szCs w:val="28"/>
        </w:rPr>
        <w:t xml:space="preserve">- Концепция демографической политики </w:t>
      </w:r>
      <w:hyperlink r:id="rId13">
        <w:r>
          <w:rPr>
            <w:color w:val="000000" w:themeColor="text1"/>
            <w:sz w:val="28"/>
            <w:szCs w:val="28"/>
          </w:rPr>
          <w:t>Российской Федерации на период до 2025г. (Указ</w:t>
        </w:r>
      </w:hyperlink>
      <w:r>
        <w:rPr>
          <w:rStyle w:val="22"/>
          <w:rFonts w:cs="Times New Roman"/>
          <w:color w:val="000000" w:themeColor="text1"/>
          <w:sz w:val="28"/>
          <w:szCs w:val="28"/>
        </w:rPr>
        <w:t xml:space="preserve"> Президента РФ </w:t>
      </w:r>
      <w:r>
        <w:rPr>
          <w:rStyle w:val="22"/>
          <w:rFonts w:cs="Times New Roman"/>
          <w:color w:val="000000" w:themeColor="text1"/>
          <w:sz w:val="28"/>
          <w:szCs w:val="28"/>
          <w:lang w:eastAsia="en-US" w:bidi="en-US"/>
        </w:rPr>
        <w:t xml:space="preserve">№ </w:t>
      </w:r>
      <w:r>
        <w:rPr>
          <w:rStyle w:val="22"/>
          <w:rFonts w:cs="Times New Roman"/>
          <w:color w:val="000000" w:themeColor="text1"/>
          <w:sz w:val="28"/>
          <w:szCs w:val="28"/>
        </w:rPr>
        <w:t>1351 от 09.10.2007);</w:t>
      </w:r>
    </w:p>
    <w:p>
      <w:pPr>
        <w:pStyle w:val="Normal"/>
        <w:widowControl w:val="false"/>
        <w:tabs>
          <w:tab w:val="clear" w:pos="708"/>
          <w:tab w:val="left" w:pos="322" w:leader="none"/>
        </w:tabs>
        <w:suppressAutoHyphens w:val="false"/>
        <w:jc w:val="both"/>
        <w:rPr/>
      </w:pPr>
      <w:r>
        <w:rPr>
          <w:rStyle w:val="22"/>
          <w:rFonts w:cs="Times New Roman"/>
          <w:color w:val="000000" w:themeColor="text1"/>
          <w:sz w:val="28"/>
          <w:szCs w:val="28"/>
        </w:rPr>
        <w:t xml:space="preserve">- Постановление Правительства РФ от 26.12.2017 </w:t>
      </w:r>
      <w:r>
        <w:rPr>
          <w:color w:val="000000" w:themeColor="text1"/>
          <w:sz w:val="28"/>
          <w:szCs w:val="28"/>
          <w:lang w:eastAsia="en-US" w:bidi="en-US"/>
        </w:rPr>
        <w:t xml:space="preserve">№ </w:t>
      </w:r>
      <w:r>
        <w:rPr>
          <w:color w:val="000000" w:themeColor="text1"/>
          <w:sz w:val="28"/>
          <w:szCs w:val="28"/>
        </w:rPr>
        <w:t>1640 «Об утверждении государственной</w:t>
      </w:r>
      <w:r>
        <w:rPr>
          <w:rStyle w:val="22"/>
          <w:rFonts w:cs="Times New Roman"/>
          <w:color w:val="000000" w:themeColor="text1"/>
          <w:sz w:val="28"/>
          <w:szCs w:val="28"/>
        </w:rPr>
        <w:t xml:space="preserve"> программы Российской Федерации «Развитие здравоохранения» (2018 - 2025гг.);</w:t>
      </w:r>
    </w:p>
    <w:p>
      <w:pPr>
        <w:pStyle w:val="Normal"/>
        <w:widowControl w:val="false"/>
        <w:rPr/>
      </w:pPr>
      <w:r>
        <w:rPr>
          <w:color w:val="000000" w:themeColor="text1"/>
          <w:sz w:val="28"/>
          <w:szCs w:val="28"/>
        </w:rPr>
        <w:t xml:space="preserve">- </w:t>
      </w:r>
      <w:hyperlink r:id="rId14">
        <w:r>
          <w:rPr>
            <w:color w:val="000000" w:themeColor="text1"/>
            <w:sz w:val="28"/>
            <w:szCs w:val="28"/>
          </w:rPr>
          <w:t>Федеральный закон Российской Федерации от</w:t>
        </w:r>
      </w:hyperlink>
      <w:r>
        <w:rPr>
          <w:rStyle w:val="22"/>
          <w:rFonts w:cs="Times New Roman"/>
          <w:color w:val="000000" w:themeColor="text1"/>
          <w:sz w:val="28"/>
          <w:szCs w:val="28"/>
        </w:rPr>
        <w:t xml:space="preserve"> 23.02.2013 г. </w:t>
      </w:r>
      <w:r>
        <w:rPr>
          <w:rStyle w:val="22"/>
          <w:rFonts w:cs="Times New Roman"/>
          <w:color w:val="000000" w:themeColor="text1"/>
          <w:sz w:val="28"/>
          <w:szCs w:val="28"/>
          <w:lang w:eastAsia="en-US" w:bidi="en-US"/>
        </w:rPr>
        <w:t xml:space="preserve">№ </w:t>
      </w:r>
      <w:r>
        <w:rPr>
          <w:rStyle w:val="22"/>
          <w:rFonts w:cs="Times New Roman"/>
          <w:color w:val="000000" w:themeColor="text1"/>
          <w:sz w:val="28"/>
          <w:szCs w:val="28"/>
        </w:rPr>
        <w:t>15-ФЗ «Об охране здоровья граждан от воздействия окружающего табачного дыма и последствий потребления табака»;</w:t>
      </w:r>
    </w:p>
    <w:p>
      <w:pPr>
        <w:pStyle w:val="Normal"/>
        <w:widowControl w:val="false"/>
        <w:rPr/>
      </w:pPr>
      <w:r>
        <w:rPr>
          <w:rStyle w:val="22"/>
          <w:rFonts w:cs="Times New Roman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Приказа Министерства здравоохранения Приморского края от 30 января 2020 года №18/пр/100 «Об утверждении программы «Укрепление общественного здоровья на 2020-2024 годы» на территории Приморского края»</w:t>
      </w:r>
    </w:p>
    <w:p>
      <w:pPr>
        <w:pStyle w:val="2"/>
        <w:shd w:val="clear" w:color="auto" w:fill="FFFFFF"/>
        <w:spacing w:lineRule="auto" w:before="0" w:after="0"/>
        <w:jc w:val="both"/>
        <w:rPr/>
      </w:pPr>
      <w:r>
        <w:rPr>
          <w:rFonts w:cs="Times New Roman" w:ascii="Times New Roman" w:hAnsi="Times New Roman"/>
          <w:b w:val="false"/>
          <w:bCs/>
          <w:i w:val="false"/>
          <w:iCs/>
          <w:color w:val="000000"/>
          <w:sz w:val="28"/>
          <w:szCs w:val="28"/>
          <w:shd w:fill="auto" w:val="clear"/>
          <w:lang w:eastAsia="zh-CN"/>
        </w:rPr>
        <w:t>- Приказ Министерства здравоохранения РФ от 15 января 2020 г. №8 «Об утверждении Стратегии формирования здорового образа жизни населения, профилактики и контроля неинфекционных заболеваний на период до 2025 года</w:t>
      </w:r>
      <w:r>
        <w:rPr>
          <w:rStyle w:val="Style17"/>
          <w:rFonts w:cs="Times New Roman" w:ascii="Times New Roman" w:hAnsi="Times New Roman"/>
          <w:b w:val="false"/>
          <w:bCs/>
          <w:i w:val="false"/>
          <w:iCs/>
          <w:color w:val="000000"/>
          <w:sz w:val="28"/>
          <w:szCs w:val="28"/>
          <w:u w:val="none"/>
          <w:shd w:fill="auto" w:val="clear"/>
          <w:lang w:eastAsia="zh-CN"/>
        </w:rPr>
        <w:t>.</w:t>
      </w:r>
    </w:p>
    <w:p>
      <w:pPr>
        <w:pStyle w:val="2"/>
        <w:shd w:val="clear" w:color="auto" w:fill="FFFFFF"/>
        <w:spacing w:lineRule="auto" w:before="0" w:after="0"/>
        <w:jc w:val="both"/>
        <w:rPr/>
      </w:pPr>
      <w:r>
        <w:rPr>
          <w:rStyle w:val="Style17"/>
          <w:rFonts w:cs="Times New Roman" w:ascii="Times New Roman" w:hAnsi="Times New Roman"/>
          <w:b w:val="false"/>
          <w:bCs/>
          <w:i w:val="false"/>
          <w:iCs/>
          <w:color w:val="000000"/>
          <w:sz w:val="28"/>
          <w:szCs w:val="28"/>
          <w:u w:val="none"/>
          <w:shd w:fill="auto" w:val="clear"/>
          <w:lang w:eastAsia="zh-CN"/>
        </w:rPr>
        <w:t xml:space="preserve">- </w:t>
      </w:r>
      <w:hyperlink r:id="rId15">
        <w:r>
          <w:rPr>
            <w:rFonts w:cs="Times New Roman" w:ascii="Times New Roman" w:hAnsi="Times New Roman"/>
            <w:b w:val="false"/>
            <w:bCs/>
            <w:i w:val="false"/>
            <w:iCs/>
            <w:color w:val="000000"/>
            <w:sz w:val="28"/>
            <w:szCs w:val="28"/>
            <w:u w:val="none"/>
            <w:shd w:fill="auto" w:val="clear"/>
            <w:lang w:eastAsia="zh-CN"/>
          </w:rPr>
          <w:t>Постановление АПК № 920-па от 27.12.2019 "Об утверждении госпрограммы «Развитие физкультуры и спорта Приморского края» на 2020-2027 годы</w:t>
        </w:r>
      </w:hyperlink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Распоряжение главы Дальнереченского муниципального района от 02.09.2021г. № 311-ра «</w:t>
      </w:r>
      <w:r>
        <w:rPr>
          <w:rFonts w:eastAsia="Times New Roman" w:cs="Times New Roman"/>
          <w:sz w:val="28"/>
          <w:szCs w:val="28"/>
          <w:lang w:eastAsia="ru-RU"/>
        </w:rPr>
        <w:t>О разработке проекта муниципальной программы «Укрепление общественного здоровья на территории Дальнереченского муниципального района» на 2021-2024 годы»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На момент принятия муниципальной программы дополнительных мер правового регулирования для достижения поставленных целей и задач не требуется.</w:t>
      </w:r>
      <w:bookmarkStart w:id="0" w:name="Par3441"/>
      <w:bookmarkStart w:id="1" w:name="Par3501"/>
      <w:bookmarkEnd w:id="0"/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>8. Ресурсное обеспечение муниципальной программы</w:t>
      </w:r>
    </w:p>
    <w:p>
      <w:pPr>
        <w:pStyle w:val="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Финансирование муниципальной программы осуществляется за счет средств бюджета Дальнереченского муниципального района. Общий объем на период реализации программы составляет 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1031,7</w:t>
      </w:r>
      <w:r>
        <w:rPr>
          <w:sz w:val="28"/>
          <w:szCs w:val="28"/>
        </w:rPr>
        <w:t xml:space="preserve"> тыс. рублей, в том числе: 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местный бюджет составляет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113,6 тыс. руб. В том числе по годам:</w:t>
      </w:r>
    </w:p>
    <w:p>
      <w:pPr>
        <w:pStyle w:val="Normal"/>
        <w:ind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2021 год –  8,5 тыс. рублей; </w:t>
      </w:r>
    </w:p>
    <w:p>
      <w:pPr>
        <w:pStyle w:val="Normal"/>
        <w:ind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2022 год –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26,9</w:t>
      </w:r>
      <w:r>
        <w:rPr>
          <w:sz w:val="28"/>
          <w:szCs w:val="28"/>
        </w:rPr>
        <w:t xml:space="preserve">тыс. рублей; </w:t>
      </w:r>
    </w:p>
    <w:p>
      <w:pPr>
        <w:pStyle w:val="Normal"/>
        <w:ind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2023 год –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40,6</w:t>
      </w:r>
      <w:r>
        <w:rPr>
          <w:sz w:val="28"/>
          <w:szCs w:val="28"/>
        </w:rPr>
        <w:t xml:space="preserve"> тыс. рублей; </w:t>
      </w:r>
    </w:p>
    <w:p>
      <w:pPr>
        <w:pStyle w:val="Normal"/>
        <w:ind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2024 год –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37,6</w:t>
      </w:r>
      <w:r>
        <w:rPr>
          <w:sz w:val="28"/>
          <w:szCs w:val="28"/>
        </w:rPr>
        <w:t xml:space="preserve"> тыс. рублей </w:t>
      </w:r>
    </w:p>
    <w:p>
      <w:pPr>
        <w:pStyle w:val="Normal"/>
        <w:ind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бюджет края составляет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918,1</w:t>
      </w:r>
      <w:r>
        <w:rPr>
          <w:sz w:val="28"/>
          <w:szCs w:val="28"/>
        </w:rPr>
        <w:t xml:space="preserve"> тыс руб, в том числе по годам:</w:t>
      </w:r>
    </w:p>
    <w:p>
      <w:pPr>
        <w:pStyle w:val="Normal"/>
        <w:ind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2021 год –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0,0</w:t>
      </w:r>
      <w:r>
        <w:rPr>
          <w:sz w:val="28"/>
          <w:szCs w:val="28"/>
        </w:rPr>
        <w:t xml:space="preserve">  тыс.  рублей; </w:t>
      </w:r>
    </w:p>
    <w:p>
      <w:pPr>
        <w:pStyle w:val="Normal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2022 год –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zh-CN" w:bidi="ar-SA"/>
        </w:rPr>
        <w:t xml:space="preserve">331,5 </w:t>
      </w:r>
      <w:r>
        <w:rPr>
          <w:sz w:val="26"/>
          <w:szCs w:val="26"/>
        </w:rPr>
        <w:t xml:space="preserve">тыс. рублей; </w:t>
      </w:r>
    </w:p>
    <w:p>
      <w:pPr>
        <w:pStyle w:val="Normal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2023 год –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zh-CN" w:bidi="ar-SA"/>
        </w:rPr>
        <w:t>200,5</w:t>
      </w:r>
      <w:r>
        <w:rPr>
          <w:sz w:val="26"/>
          <w:szCs w:val="26"/>
        </w:rPr>
        <w:t xml:space="preserve">  тыс.  рублей; </w:t>
      </w:r>
    </w:p>
    <w:p>
      <w:pPr>
        <w:pStyle w:val="Normal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2024 год –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zh-CN" w:bidi="ar-SA"/>
        </w:rPr>
        <w:t>386,1</w:t>
      </w:r>
      <w:r>
        <w:rPr>
          <w:sz w:val="26"/>
          <w:szCs w:val="26"/>
        </w:rPr>
        <w:t xml:space="preserve"> тыс.  рублей </w:t>
      </w:r>
    </w:p>
    <w:p>
      <w:pPr>
        <w:pStyle w:val="Normal"/>
        <w:ind w:firstLine="70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Ежегодные объемы финансирования муниципальной программы определяются в установленном порядке при формировании бюджета на очередной финансовый год и плановый период.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Ресурсное обеспечение муниципальной программы представлено в приложении 2 к настоящей программе.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9. Механизм реализации программы.</w:t>
      </w:r>
    </w:p>
    <w:p>
      <w:pPr>
        <w:pStyle w:val="Normal"/>
        <w:ind w:firstLine="708"/>
        <w:jc w:val="both"/>
        <w:rPr>
          <w:color w:val="000000"/>
          <w:sz w:val="22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       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>
        <w:rPr>
          <w:sz w:val="26"/>
          <w:szCs w:val="26"/>
        </w:rPr>
        <w:t>Механизм реализации муниципальной программы предусматривает закупку товаров, работ за счет средств бюджета муниципального образования Дальнереченский муниципальный район в соответствии с действующим законодательством, регулирующим закупку товаров, работ, услуг для обеспечения муниципальных нужд муниципального образования Дальнереченский муниципальный район.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обеспечения мониторинга и анализа хода реализации программы координатор по установленной форме представляет отчет о реализации программы в отдел экономики в соответствии с постановлением Администрации Дальнереченского муниципального района от 01.11.2019 № 455 «Об утверждении Порядка разработки, реализации и оценки эффективности муниципальных программ Дальнереченского муниципального района».</w:t>
      </w:r>
    </w:p>
    <w:p>
      <w:pPr>
        <w:pStyle w:val="Normal"/>
        <w:jc w:val="both"/>
        <w:rPr>
          <w:sz w:val="28"/>
          <w:szCs w:val="26"/>
        </w:rPr>
      </w:pPr>
      <w:r>
        <w:rPr>
          <w:sz w:val="28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10. Оценка эффективности реализации муниципальной программы</w:t>
      </w:r>
    </w:p>
    <w:p>
      <w:pPr>
        <w:pStyle w:val="Normal"/>
        <w:ind w:firstLine="708"/>
        <w:jc w:val="both"/>
        <w:rPr>
          <w:b/>
          <w:b/>
          <w:sz w:val="22"/>
          <w:szCs w:val="26"/>
        </w:rPr>
      </w:pPr>
      <w:r>
        <w:rPr>
          <w:b/>
          <w:sz w:val="22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оценки эффективности реализации муниципальной программы заданы целевые индикаторы (приложение 1)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11. Организация управления муниципальной программой и контроль за исполнением муниципальной программы </w:t>
      </w:r>
    </w:p>
    <w:p>
      <w:pPr>
        <w:pStyle w:val="Normal"/>
        <w:ind w:firstLine="708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Текущее управление муниципальной программой осуществляет координатор муниципальной программы – Муниципальное казенное учреждение «Районный информационно-допинговый центр» Дальнереченского муниципального района.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Координатор муниципальной программы в процессе реализации муниципальной программы: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>
      <w:pPr>
        <w:pStyle w:val="Normal"/>
        <w:ind w:firstLine="708"/>
        <w:jc w:val="both"/>
        <w:rPr>
          <w:sz w:val="12"/>
          <w:szCs w:val="26"/>
        </w:rPr>
      </w:pPr>
      <w:r>
        <w:rPr>
          <w:sz w:val="12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 разработку и реализацию муниципальной программы;</w:t>
      </w:r>
    </w:p>
    <w:p>
      <w:pPr>
        <w:pStyle w:val="Normal"/>
        <w:ind w:firstLine="708"/>
        <w:jc w:val="both"/>
        <w:rPr>
          <w:sz w:val="12"/>
          <w:szCs w:val="26"/>
        </w:rPr>
      </w:pPr>
      <w:r>
        <w:rPr>
          <w:sz w:val="12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мониторинг и анализ отчетов исполнителей, ответственных за реализацию соответствующих мероприятий программы;</w:t>
      </w:r>
    </w:p>
    <w:p>
      <w:pPr>
        <w:pStyle w:val="Normal"/>
        <w:ind w:firstLine="708"/>
        <w:jc w:val="both"/>
        <w:rPr>
          <w:sz w:val="12"/>
          <w:szCs w:val="26"/>
        </w:rPr>
      </w:pPr>
      <w:r>
        <w:rPr>
          <w:sz w:val="12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проводит оценку эффективности реализации муниципальной программы;</w:t>
      </w:r>
    </w:p>
    <w:p>
      <w:pPr>
        <w:pStyle w:val="Normal"/>
        <w:ind w:firstLine="708"/>
        <w:jc w:val="both"/>
        <w:rPr>
          <w:sz w:val="12"/>
          <w:szCs w:val="26"/>
        </w:rPr>
      </w:pPr>
      <w:r>
        <w:rPr>
          <w:sz w:val="12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несет ответственность за достижение целевых показателей муниципальной программы;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подготовку предложений по объемам и источникам финансирования реализации программы;</w:t>
      </w:r>
    </w:p>
    <w:p>
      <w:pPr>
        <w:pStyle w:val="Normal"/>
        <w:ind w:firstLine="708"/>
        <w:jc w:val="both"/>
        <w:rPr>
          <w:sz w:val="12"/>
          <w:szCs w:val="26"/>
        </w:rPr>
      </w:pPr>
      <w:r>
        <w:rPr>
          <w:sz w:val="12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>
      <w:pPr>
        <w:pStyle w:val="Normal"/>
        <w:ind w:firstLine="708"/>
        <w:jc w:val="both"/>
        <w:rPr>
          <w:sz w:val="12"/>
          <w:szCs w:val="26"/>
        </w:rPr>
      </w:pPr>
      <w:r>
        <w:rPr>
          <w:sz w:val="12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>
      <w:pPr>
        <w:pStyle w:val="Normal"/>
        <w:ind w:firstLine="708"/>
        <w:jc w:val="both"/>
        <w:rPr>
          <w:sz w:val="16"/>
          <w:szCs w:val="26"/>
        </w:rPr>
      </w:pPr>
      <w:r>
        <w:rPr>
          <w:sz w:val="1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иные полномочия, установленные муниципальной программой;</w:t>
      </w:r>
    </w:p>
    <w:p>
      <w:pPr>
        <w:pStyle w:val="Normal"/>
        <w:ind w:firstLine="708"/>
        <w:jc w:val="both"/>
        <w:rPr>
          <w:sz w:val="14"/>
          <w:szCs w:val="26"/>
        </w:rPr>
      </w:pPr>
      <w:r>
        <w:rPr>
          <w:sz w:val="14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несет ответственность за целевое использование денежных средств, предусмотренных данной муниципальной программой.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headerReference w:type="default" r:id="rId16"/>
          <w:headerReference w:type="first" r:id="rId17"/>
          <w:footerReference w:type="default" r:id="rId18"/>
          <w:footerReference w:type="first" r:id="rId19"/>
          <w:type w:val="nextPage"/>
          <w:pgSz w:w="11906" w:h="16838"/>
          <w:pgMar w:left="993" w:right="1134" w:header="0" w:top="907" w:footer="720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ходом реализации муниципальной программы осуществляет заместитель главы Дальнереченского муниципального района А.Г. Попов.</w:t>
      </w:r>
    </w:p>
    <w:p>
      <w:pPr>
        <w:pStyle w:val="Style23"/>
        <w:spacing w:before="0" w:after="0"/>
        <w:ind w:left="11402" w:right="-460" w:firstLine="5387"/>
        <w:rPr>
          <w:sz w:val="28"/>
          <w:szCs w:val="28"/>
        </w:rPr>
      </w:pPr>
      <w:r>
        <w:rPr/>
        <w:t xml:space="preserve"> </w:t>
      </w:r>
      <w:r>
        <w:rPr/>
        <w:t>Приложение 1</w:t>
      </w:r>
    </w:p>
    <w:p>
      <w:pPr>
        <w:pStyle w:val="Style23"/>
        <w:spacing w:before="0" w:after="0"/>
        <w:ind w:left="11402" w:hanging="0"/>
        <w:rPr>
          <w:sz w:val="28"/>
          <w:szCs w:val="28"/>
        </w:rPr>
      </w:pPr>
      <w:r>
        <w:rPr/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ar-SA" w:bidi="ar-SA"/>
        </w:rPr>
        <w:t>к постановлению</w:t>
      </w:r>
      <w:r>
        <w:rPr/>
        <w:t xml:space="preserve"> администрации Дальнереченского муниципального района 15.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ar-SA" w:bidi="ar-SA"/>
        </w:rPr>
        <w:t>11</w:t>
      </w:r>
      <w:r>
        <w:rPr/>
        <w:t xml:space="preserve">.2021г. №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ar-SA" w:bidi="ar-SA"/>
        </w:rPr>
        <w:t>501</w:t>
      </w:r>
      <w:r>
        <w:rPr/>
        <w:t>-па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f6"/>
        <w:tblW w:w="14064" w:type="dxa"/>
        <w:jc w:val="left"/>
        <w:tblInd w:w="-59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509"/>
        <w:gridCol w:w="3206"/>
        <w:gridCol w:w="1079"/>
        <w:gridCol w:w="3060"/>
        <w:gridCol w:w="2705"/>
        <w:gridCol w:w="855"/>
        <w:gridCol w:w="43"/>
        <w:gridCol w:w="915"/>
        <w:gridCol w:w="898"/>
        <w:gridCol w:w="792"/>
      </w:tblGrid>
      <w:tr>
        <w:trPr>
          <w:tblHeader w:val="true"/>
          <w:trHeight w:val="295" w:hRule="atLeast"/>
        </w:trPr>
        <w:tc>
          <w:tcPr>
            <w:tcW w:w="509" w:type="dxa"/>
            <w:vMerge w:val="restart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№</w:t>
            </w:r>
          </w:p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пп</w:t>
            </w:r>
          </w:p>
        </w:tc>
        <w:tc>
          <w:tcPr>
            <w:tcW w:w="3206" w:type="dxa"/>
            <w:vMerge w:val="restart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Наименование мероприятий</w:t>
            </w:r>
          </w:p>
        </w:tc>
        <w:tc>
          <w:tcPr>
            <w:tcW w:w="1079" w:type="dxa"/>
            <w:vMerge w:val="restart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Срок реализации</w:t>
            </w:r>
          </w:p>
        </w:tc>
        <w:tc>
          <w:tcPr>
            <w:tcW w:w="3060" w:type="dxa"/>
            <w:vMerge w:val="restart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Исполнители </w:t>
            </w:r>
          </w:p>
        </w:tc>
        <w:tc>
          <w:tcPr>
            <w:tcW w:w="2705" w:type="dxa"/>
            <w:vMerge w:val="restart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наименование индикатора</w:t>
            </w:r>
          </w:p>
        </w:tc>
        <w:tc>
          <w:tcPr>
            <w:tcW w:w="3503" w:type="dxa"/>
            <w:gridSpan w:val="5"/>
            <w:tcBorders/>
            <w:shd w:color="auto" w:fill="auto" w:val="clear"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показатель эффективности</w:t>
            </w:r>
            <w:bookmarkStart w:id="2" w:name="_GoBack"/>
            <w:bookmarkEnd w:id="2"/>
          </w:p>
        </w:tc>
      </w:tr>
      <w:tr>
        <w:trPr>
          <w:tblHeader w:val="true"/>
          <w:trHeight w:val="300" w:hRule="atLeast"/>
        </w:trPr>
        <w:tc>
          <w:tcPr>
            <w:tcW w:w="509" w:type="dxa"/>
            <w:vMerge w:val="continue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3206" w:type="dxa"/>
            <w:vMerge w:val="continue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1079" w:type="dxa"/>
            <w:vMerge w:val="continue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3060" w:type="dxa"/>
            <w:vMerge w:val="continue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2705" w:type="dxa"/>
            <w:vMerge w:val="continue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898" w:type="dxa"/>
            <w:gridSpan w:val="2"/>
            <w:tcBorders/>
            <w:shd w:color="auto" w:fill="auto" w:val="clear"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2021</w:t>
            </w:r>
          </w:p>
        </w:tc>
        <w:tc>
          <w:tcPr>
            <w:tcW w:w="915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2022</w:t>
            </w:r>
          </w:p>
        </w:tc>
        <w:tc>
          <w:tcPr>
            <w:tcW w:w="898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2023</w:t>
            </w:r>
          </w:p>
        </w:tc>
        <w:tc>
          <w:tcPr>
            <w:tcW w:w="792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2024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553" w:type="dxa"/>
            <w:gridSpan w:val="9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  <w:t>1.Мероприятия по формированию и функционированию общественного совета из числа жителей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1.1.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 xml:space="preserve">Создание  рабочей группы  по разработке комплекса мер по движению за здоровый образ жизни в Дальнереченском муниципальном районе </w:t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 xml:space="preserve">2021 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Администрация Дальнереченского муниципального района.</w:t>
            </w:r>
          </w:p>
        </w:tc>
        <w:tc>
          <w:tcPr>
            <w:tcW w:w="27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-55" w:hang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создана рабочая группа  по разработке комплекса мер по движению за здоровый образ жизни в Дальнереченском муниципальном районе, ед.</w:t>
            </w:r>
          </w:p>
        </w:tc>
        <w:tc>
          <w:tcPr>
            <w:tcW w:w="89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1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0</w:t>
            </w:r>
          </w:p>
        </w:tc>
        <w:tc>
          <w:tcPr>
            <w:tcW w:w="8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0</w:t>
            </w:r>
          </w:p>
        </w:tc>
        <w:tc>
          <w:tcPr>
            <w:tcW w:w="7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0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1.2.</w:t>
            </w:r>
          </w:p>
        </w:tc>
        <w:tc>
          <w:tcPr>
            <w:tcW w:w="3206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Проведение конкурса среди организаций Дальнереченского муниципального района собственности на определение лучшей организации, которая внедрила корпоративную программу укрепления здоровья сотрудников на рабочем месте</w:t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2021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Администрация  Дальнереченского муниципального района.</w:t>
            </w:r>
          </w:p>
        </w:tc>
        <w:tc>
          <w:tcPr>
            <w:tcW w:w="27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Выделен грант лучшей организации, которая внедрила корпоративную программу укрепления здоровья сотрудников на рабочем месте, шт.</w:t>
            </w:r>
          </w:p>
        </w:tc>
        <w:tc>
          <w:tcPr>
            <w:tcW w:w="89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0</w:t>
            </w:r>
          </w:p>
        </w:tc>
        <w:tc>
          <w:tcPr>
            <w:tcW w:w="915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98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92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13553" w:type="dxa"/>
            <w:gridSpan w:val="9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  <w:t xml:space="preserve">2. Мероприятия по выявлению и коррекции факторов риска основных хронических неинфекционных заболеваний у населения Дальнереченского городского округа 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2.1.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Выявление уровня потребления алкоголя населением, табакокурения табака и потребления иной никотинсодержащей продукции</w:t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2021 2024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КГБУЗ «Дальнереченская ЦГБ».</w:t>
            </w:r>
          </w:p>
        </w:tc>
        <w:tc>
          <w:tcPr>
            <w:tcW w:w="27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подготовлена информационная справка к заседанию рабочей группы  по разработке комплекса мер по движению за здоровый образ жизни в Дальнереченском муниципальном районе, 2 раза в год; шт.</w:t>
            </w:r>
          </w:p>
        </w:tc>
        <w:tc>
          <w:tcPr>
            <w:tcW w:w="89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1</w:t>
            </w:r>
          </w:p>
        </w:tc>
        <w:tc>
          <w:tcPr>
            <w:tcW w:w="915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898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792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2.2.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 xml:space="preserve">Мониторинг физической активности граждан </w:t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2021 2024</w:t>
            </w:r>
          </w:p>
        </w:tc>
        <w:tc>
          <w:tcPr>
            <w:tcW w:w="3060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jc w:val="both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МКУ«Управления образования» Дальнереченского муниципального района;</w:t>
            </w:r>
          </w:p>
          <w:p>
            <w:pPr>
              <w:pStyle w:val="NormalWeb"/>
              <w:widowControl w:val="false"/>
              <w:spacing w:before="280" w:after="280"/>
              <w:jc w:val="both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МКУ «РИДЦ» Дальнереченского муниципального района.</w:t>
            </w:r>
          </w:p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подготовлена информационная справка к заседанию рабочей группы  по разработке комплекса мер по движению за здоровый образ жизни в Дальнереченском муниципальном районе, 2 раза в год; шт.</w:t>
            </w:r>
          </w:p>
        </w:tc>
        <w:tc>
          <w:tcPr>
            <w:tcW w:w="89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1</w:t>
            </w:r>
          </w:p>
        </w:tc>
        <w:tc>
          <w:tcPr>
            <w:tcW w:w="915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898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792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2.3.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Анализ динамики показателей заболеваемости и смертности населения от основных ХНИЗ (новообразования, болезни системы кровообращения, дыхания, пищеварения)</w:t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2021 2024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КГБУЗ «Дальнереченская ЦГБ».</w:t>
            </w:r>
          </w:p>
        </w:tc>
        <w:tc>
          <w:tcPr>
            <w:tcW w:w="27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подготовлена информационная справка к заседанию рабочей группы  по разработке комплекса мер по движению за здоровый образ жизни в Дальнереченском муниципальном районе , 2р в год; шт.</w:t>
            </w:r>
          </w:p>
        </w:tc>
        <w:tc>
          <w:tcPr>
            <w:tcW w:w="89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1</w:t>
            </w:r>
          </w:p>
        </w:tc>
        <w:tc>
          <w:tcPr>
            <w:tcW w:w="915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898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792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13553" w:type="dxa"/>
            <w:gridSpan w:val="9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  <w:t>3. Мероприятия по мотивированию граждан к ведению здорового образа жизни посредством проведения информационно-коммуникационной кампании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3.1.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Изготовление и распространение наглядной агитации (листовок, буклетов, календарей) санитарно-просветительской направленности и здорового образа жизни</w:t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2021 2024</w:t>
            </w:r>
          </w:p>
        </w:tc>
        <w:tc>
          <w:tcPr>
            <w:tcW w:w="3060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jc w:val="both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 xml:space="preserve">МКУ «РИДЦ» Дальнереченского муниципального района; </w:t>
            </w:r>
          </w:p>
          <w:p>
            <w:pPr>
              <w:pStyle w:val="NormalWeb"/>
              <w:widowControl w:val="false"/>
              <w:spacing w:before="280" w:after="280"/>
              <w:jc w:val="both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МКУ «Управления народного образования» Дальнереченского Муниципального района.</w:t>
            </w:r>
          </w:p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ind w:right="-55" w:hanging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изготовлены листовки, буклеты, шт.</w:t>
            </w:r>
          </w:p>
        </w:tc>
        <w:tc>
          <w:tcPr>
            <w:tcW w:w="89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kern w:val="0"/>
                <w:lang w:val="en-US" w:bidi="ar-SA"/>
              </w:rPr>
              <w:t>200</w:t>
            </w:r>
          </w:p>
        </w:tc>
        <w:tc>
          <w:tcPr>
            <w:tcW w:w="915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898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792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200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3.2.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Обеспечение в учреждениях размещения на информационных стендах наглядной агитации санитарно-просветительской направленности и здорового образа жизни</w:t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2021 2024</w:t>
            </w:r>
          </w:p>
        </w:tc>
        <w:tc>
          <w:tcPr>
            <w:tcW w:w="3060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jc w:val="both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МКУ «Управления народного образования» Дальнереченского муниципального района;</w:t>
            </w:r>
          </w:p>
          <w:p>
            <w:pPr>
              <w:pStyle w:val="NormalWeb"/>
              <w:widowControl w:val="false"/>
              <w:spacing w:before="280" w:after="280"/>
              <w:jc w:val="both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МКУ «РИДЦ» Дальнереченского муниципального района.</w:t>
            </w:r>
          </w:p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количество организаций, обеспечивших размещение на информационных стендах наглядной агитации санитарно-просветительской направленности и здорового образа жизни, шт. (нарастающим итогом)</w:t>
            </w:r>
          </w:p>
        </w:tc>
        <w:tc>
          <w:tcPr>
            <w:tcW w:w="89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15</w:t>
            </w:r>
          </w:p>
        </w:tc>
        <w:tc>
          <w:tcPr>
            <w:tcW w:w="915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898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22</w:t>
            </w:r>
          </w:p>
        </w:tc>
        <w:tc>
          <w:tcPr>
            <w:tcW w:w="792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24</w:t>
            </w:r>
          </w:p>
        </w:tc>
      </w:tr>
      <w:tr>
        <w:trPr>
          <w:trHeight w:val="2537" w:hRule="atLeast"/>
        </w:trPr>
        <w:tc>
          <w:tcPr>
            <w:tcW w:w="509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3.3.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Систематическое  освещение вопросов по пропаганде здорового образа жизни, преодолению вредных привычек, в том числе табакокурения, потребления алкогольной продукции и пива в средствах массовой информации</w:t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2021 2024</w:t>
            </w:r>
          </w:p>
        </w:tc>
        <w:tc>
          <w:tcPr>
            <w:tcW w:w="3060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jc w:val="both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МКУ «Управления народного образования» Дальнереченского муниципального района;</w:t>
            </w:r>
          </w:p>
          <w:p>
            <w:pPr>
              <w:pStyle w:val="NormalWeb"/>
              <w:widowControl w:val="false"/>
              <w:spacing w:before="280" w:after="280"/>
              <w:ind w:firstLine="85"/>
              <w:jc w:val="left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МКУ «РИДЦ» Дальнереченского муниципального района.</w:t>
            </w:r>
          </w:p>
          <w:p>
            <w:pPr>
              <w:pStyle w:val="NormalWeb"/>
              <w:widowControl w:val="false"/>
              <w:spacing w:beforeAutospacing="0" w:before="280" w:afterAutospacing="0" w:after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количество публикаций в средствах массовой информации, шт.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(нарастающим итогом)</w:t>
            </w:r>
          </w:p>
        </w:tc>
        <w:tc>
          <w:tcPr>
            <w:tcW w:w="89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</w:t>
            </w:r>
          </w:p>
        </w:tc>
        <w:tc>
          <w:tcPr>
            <w:tcW w:w="915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898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792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8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3.4.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Организация выставок, видео-лекториев</w:t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2021 2024</w:t>
            </w:r>
          </w:p>
        </w:tc>
        <w:tc>
          <w:tcPr>
            <w:tcW w:w="3060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jc w:val="left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МКУ «РИДЦ» Дальнереченского муниципального района;</w:t>
            </w:r>
          </w:p>
          <w:p>
            <w:pPr>
              <w:pStyle w:val="NormalWeb"/>
              <w:widowControl w:val="false"/>
              <w:spacing w:before="280" w:after="280"/>
              <w:jc w:val="left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МКУ «Управления народного образования» Дальнереченского муниципального района.</w:t>
            </w:r>
          </w:p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количество проведенных выставок, лекториев, шт.</w:t>
            </w:r>
          </w:p>
        </w:tc>
        <w:tc>
          <w:tcPr>
            <w:tcW w:w="89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3</w:t>
            </w:r>
          </w:p>
        </w:tc>
        <w:tc>
          <w:tcPr>
            <w:tcW w:w="8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4</w:t>
            </w:r>
          </w:p>
        </w:tc>
        <w:tc>
          <w:tcPr>
            <w:tcW w:w="7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4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13553" w:type="dxa"/>
            <w:gridSpan w:val="9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b/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ru-RU" w:bidi="ar-SA"/>
              </w:rPr>
              <w:t>4. Мероприятия по созданию среды способствующей ведению гражданами здорового образа жизни</w:t>
            </w:r>
          </w:p>
        </w:tc>
      </w:tr>
      <w:tr>
        <w:trPr>
          <w:trHeight w:val="1454" w:hRule="atLeast"/>
        </w:trPr>
        <w:tc>
          <w:tcPr>
            <w:tcW w:w="509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4.1.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 xml:space="preserve">Создание пешеходного и велосипедного маршрута на территории Дальнереченского  муниципального района </w:t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2021 2024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Администрация Дальнереченского муниципального района.</w:t>
            </w:r>
          </w:p>
        </w:tc>
        <w:tc>
          <w:tcPr>
            <w:tcW w:w="27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создан пешеходный/ велосипедный маршрут, ед.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(нарастающим итогом)</w:t>
            </w:r>
          </w:p>
        </w:tc>
        <w:tc>
          <w:tcPr>
            <w:tcW w:w="89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0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0</w:t>
            </w:r>
          </w:p>
        </w:tc>
        <w:tc>
          <w:tcPr>
            <w:tcW w:w="8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1</w:t>
            </w:r>
          </w:p>
        </w:tc>
        <w:tc>
          <w:tcPr>
            <w:tcW w:w="7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4.2.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Строительство/обустройство открытых плоскостных сооружений для занятий физической культурой и спортом</w:t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2021 2024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МКУ «РИДЦ» Дальнереченского муниципального района;</w:t>
            </w:r>
          </w:p>
          <w:p>
            <w:pPr>
              <w:pStyle w:val="NormalWeb"/>
              <w:widowControl w:val="false"/>
              <w:spacing w:before="280" w:after="280"/>
              <w:jc w:val="both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МКУ «Управления народного образования» Дальнереченского муниципального района.</w:t>
            </w:r>
          </w:p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количество созданных новых открытых плоскостных сооружений для занятий физической культурой и спортом, ед.</w:t>
            </w:r>
          </w:p>
        </w:tc>
        <w:tc>
          <w:tcPr>
            <w:tcW w:w="89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0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1</w:t>
            </w:r>
          </w:p>
        </w:tc>
        <w:tc>
          <w:tcPr>
            <w:tcW w:w="8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0</w:t>
            </w:r>
          </w:p>
        </w:tc>
        <w:tc>
          <w:tcPr>
            <w:tcW w:w="7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0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4.3.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Благоустройство зелёных зон (парков, скверов, придомовых территорий)</w:t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2021 2024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МКУ «РИДЦ» Дальнереченского муниципального района;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МКУ «Управления народного образования» Дальнереченского муниципального района;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Администрация Дальнереченского муниципального района.</w:t>
            </w:r>
          </w:p>
        </w:tc>
        <w:tc>
          <w:tcPr>
            <w:tcW w:w="27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количество проведенных субботников  в населенных пунктах с привлечением местных жителей, шт.</w:t>
            </w:r>
          </w:p>
        </w:tc>
        <w:tc>
          <w:tcPr>
            <w:tcW w:w="89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60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60</w:t>
            </w:r>
          </w:p>
        </w:tc>
        <w:tc>
          <w:tcPr>
            <w:tcW w:w="8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60</w:t>
            </w:r>
          </w:p>
        </w:tc>
        <w:tc>
          <w:tcPr>
            <w:tcW w:w="7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60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13553" w:type="dxa"/>
            <w:gridSpan w:val="9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b/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ru-RU" w:bidi="ar-SA"/>
              </w:rPr>
              <w:t>5. Мероприятия по формированию здорового образа жизни, снижению потребления алкогольной продукции, пива и табака среди детей и подростков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5.1.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Проведение лекций, бесед, классных часов опросов (анкетирования) среди детей, подростков и их родителей о пагубном влиянии вредных привычек (табакокурения, потребление алкоголя, наркотиков, неправильное питание) с привлечением врачей педиатров, психиатров, наркологов, сотрудников полиции</w:t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2021 2024</w:t>
            </w:r>
          </w:p>
        </w:tc>
        <w:tc>
          <w:tcPr>
            <w:tcW w:w="3060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jc w:val="left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МКУ «Управления народного образования» Дальнереченского муниципального района;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КГБУЗ «Дальнереченская ЦГБ».</w:t>
            </w:r>
          </w:p>
        </w:tc>
        <w:tc>
          <w:tcPr>
            <w:tcW w:w="27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Проведено лекций, бесед, классных часов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полиции, шт. (из расчета на одно образовательное учреждение)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</w:t>
            </w:r>
          </w:p>
        </w:tc>
        <w:tc>
          <w:tcPr>
            <w:tcW w:w="9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</w:t>
            </w:r>
          </w:p>
        </w:tc>
        <w:tc>
          <w:tcPr>
            <w:tcW w:w="8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</w:t>
            </w:r>
          </w:p>
        </w:tc>
        <w:tc>
          <w:tcPr>
            <w:tcW w:w="7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5.2.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SimSun"/>
                <w:kern w:val="2"/>
                <w:lang w:bidi="hi-IN"/>
              </w:rPr>
            </w:pPr>
            <w:r>
              <w:rPr>
                <w:rFonts w:cs="Times New Roman"/>
                <w:kern w:val="2"/>
                <w:lang w:val="ru-RU" w:eastAsia="hi-IN" w:bidi="hi-IN"/>
              </w:rPr>
              <w:t>Проведение тематических конкурсов по пропаганде ЗОЖ среди детей, подростков и их родителей</w:t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2021 2024</w:t>
            </w:r>
          </w:p>
        </w:tc>
        <w:tc>
          <w:tcPr>
            <w:tcW w:w="3060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jc w:val="left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МКУ «Управления народного образования» Дальнереченского муниципального района;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 xml:space="preserve">МКУ «РИДЦ» Дальнереченского муниципального района. </w:t>
            </w:r>
          </w:p>
        </w:tc>
        <w:tc>
          <w:tcPr>
            <w:tcW w:w="27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проведено ко</w:t>
            </w:r>
            <w:r>
              <w:rPr>
                <w:rFonts w:eastAsia="Times New Roman" w:cs="Times New Roman"/>
                <w:kern w:val="2"/>
                <w:lang w:val="ru-RU" w:eastAsia="hi-IN" w:bidi="hi-IN"/>
              </w:rPr>
              <w:t xml:space="preserve"> конкурсов по пропаганде ЗОЖ среди детей, подростков и их родителей, шт.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1</w:t>
            </w:r>
          </w:p>
        </w:tc>
        <w:tc>
          <w:tcPr>
            <w:tcW w:w="9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1</w:t>
            </w:r>
          </w:p>
        </w:tc>
        <w:tc>
          <w:tcPr>
            <w:tcW w:w="8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1</w:t>
            </w:r>
          </w:p>
        </w:tc>
        <w:tc>
          <w:tcPr>
            <w:tcW w:w="7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1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5.3.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  <w:lang w:val="ru-RU" w:eastAsia="hi-IN" w:bidi="hi-IN"/>
              </w:rPr>
              <w:t xml:space="preserve">Организация и проведение летней оздоровительной кампании, в том числе </w:t>
            </w:r>
            <w:r>
              <w:rPr>
                <w:rFonts w:eastAsia="Times New Roman" w:cs="Times New Roman"/>
                <w:kern w:val="0"/>
                <w:lang w:val="ru-RU" w:bidi="ar-SA"/>
              </w:rPr>
              <w:t>спортивных походов и пеших экскурсий</w:t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2021 2024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МКУ «РИДЦ» Дальнереченского муниципального района.</w:t>
            </w:r>
          </w:p>
        </w:tc>
        <w:tc>
          <w:tcPr>
            <w:tcW w:w="27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проведены оздоровительные кампании, шт. (из расчета на одно образовательное учреждение)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9</w:t>
            </w:r>
          </w:p>
        </w:tc>
        <w:tc>
          <w:tcPr>
            <w:tcW w:w="9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9</w:t>
            </w:r>
          </w:p>
        </w:tc>
        <w:tc>
          <w:tcPr>
            <w:tcW w:w="8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9</w:t>
            </w:r>
          </w:p>
        </w:tc>
        <w:tc>
          <w:tcPr>
            <w:tcW w:w="7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9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5.4.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Проведение ежегодных профилактических медицинских осмотров детей школьного возраста, в том числе на предмет выявления лиц, допускающих немедицинское потребление наркотических средств и психотропных веществ</w:t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2021 2024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КГБУЗ «Дальнереченская ЦГБ».</w:t>
            </w:r>
          </w:p>
        </w:tc>
        <w:tc>
          <w:tcPr>
            <w:tcW w:w="27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 xml:space="preserve">Количество учащихся, прошедших ежегодный профилактический медицинский осмотр 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130</w:t>
            </w:r>
          </w:p>
        </w:tc>
        <w:tc>
          <w:tcPr>
            <w:tcW w:w="958" w:type="dxa"/>
            <w:gridSpan w:val="2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140</w:t>
            </w:r>
          </w:p>
        </w:tc>
        <w:tc>
          <w:tcPr>
            <w:tcW w:w="898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150</w:t>
            </w:r>
          </w:p>
        </w:tc>
        <w:tc>
          <w:tcPr>
            <w:tcW w:w="792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160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13553" w:type="dxa"/>
            <w:gridSpan w:val="9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  <w:t>6. Мероприятия по профилактики потребления табачных изделий, алкогольной продукции и пива среди молодёжи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6.1</w:t>
            </w:r>
          </w:p>
        </w:tc>
        <w:tc>
          <w:tcPr>
            <w:tcW w:w="32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Организация ежегодных массовых профилактических акций, направленных на формирование здорового образа жизни: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- Сотвори себя сам;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- Бежит вся Россия;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- Обменяй сигарету на конфету;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- Пора себя любить – бросай сейчас курить;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- Всемирный день борьбы с гипертонией (17.05);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- Всемирный день сердца (29.09);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 xml:space="preserve">- Всемирный день трезвости 03.10);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- Всемирный день борьбы с инсультом (29.10);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- Всемирный день борьбы с сахарным диабетом (14.11);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eastAsia="ru-RU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  Всемирный день борьбы против рака (04.02);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eastAsia="ru-RU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  Всемирный день здоровья (07.04);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eastAsia="ru-RU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  Всемирный день борьбы с туберкулезом (24.03);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eastAsia="ru-RU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  Всемирный день борьбы с раком груди (15.10);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  Всемирный день борьбы со СПИДОМ (01.12).</w:t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2021 2024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МКУ «РИДЦ» Дальнереченского муниципального района;</w:t>
            </w:r>
          </w:p>
          <w:p>
            <w:pPr>
              <w:pStyle w:val="NormalWeb"/>
              <w:widowControl w:val="false"/>
              <w:spacing w:before="280" w:after="280"/>
              <w:jc w:val="left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МКУ «Управления народного образования» Дальнереченского муниципального района;</w:t>
            </w:r>
          </w:p>
          <w:p>
            <w:pPr>
              <w:pStyle w:val="NormalWeb"/>
              <w:widowControl w:val="false"/>
              <w:spacing w:before="280" w:after="280"/>
              <w:jc w:val="left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Комиссия по делам несовершеннолетних и защите их прав администрации Дальнереченского муниципального района;</w:t>
            </w:r>
          </w:p>
          <w:p>
            <w:pPr>
              <w:pStyle w:val="NormalWeb"/>
              <w:widowControl w:val="false"/>
              <w:spacing w:before="280" w:after="280"/>
              <w:jc w:val="left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КГБУЗ «Дальнереченская ЦГБ»;</w:t>
            </w:r>
          </w:p>
          <w:p>
            <w:pPr>
              <w:pStyle w:val="NormalWeb"/>
              <w:widowControl w:val="false"/>
              <w:spacing w:beforeAutospacing="0" w:before="280" w:afterAutospacing="0" w:after="280"/>
              <w:jc w:val="left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Отдел ЗАГС администрации Дальнереченского муниципального района.</w:t>
            </w:r>
          </w:p>
        </w:tc>
        <w:tc>
          <w:tcPr>
            <w:tcW w:w="27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проведены массовые профилактические акции, направленные на формирование здорового образа жизни</w:t>
            </w:r>
          </w:p>
        </w:tc>
        <w:tc>
          <w:tcPr>
            <w:tcW w:w="89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14</w:t>
            </w:r>
          </w:p>
        </w:tc>
        <w:tc>
          <w:tcPr>
            <w:tcW w:w="915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14</w:t>
            </w:r>
          </w:p>
        </w:tc>
        <w:tc>
          <w:tcPr>
            <w:tcW w:w="898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14</w:t>
            </w:r>
          </w:p>
        </w:tc>
        <w:tc>
          <w:tcPr>
            <w:tcW w:w="792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14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6.2</w:t>
            </w:r>
          </w:p>
        </w:tc>
        <w:tc>
          <w:tcPr>
            <w:tcW w:w="32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Проведение ежегодной диспансеризации молодёжи и старшего поколения для выявления заболеваемости</w:t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2021 2024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КГБУЗ «Дальнереченская ЦГБ».</w:t>
            </w:r>
          </w:p>
        </w:tc>
        <w:tc>
          <w:tcPr>
            <w:tcW w:w="27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количество людей, прошедших диспансеризацию молодёжи и старшего поколения для выявления заболеваемости, чел.</w:t>
            </w:r>
          </w:p>
        </w:tc>
        <w:tc>
          <w:tcPr>
            <w:tcW w:w="89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625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658</w:t>
            </w:r>
          </w:p>
        </w:tc>
        <w:tc>
          <w:tcPr>
            <w:tcW w:w="8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688</w:t>
            </w:r>
          </w:p>
        </w:tc>
        <w:tc>
          <w:tcPr>
            <w:tcW w:w="7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718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6.3</w:t>
            </w:r>
          </w:p>
        </w:tc>
        <w:tc>
          <w:tcPr>
            <w:tcW w:w="32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 xml:space="preserve">Организация консультаций по вопросам отказа от табакокурения в наркологическом кабинете в КГБУЗ </w:t>
            </w: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«Дальнереченская ЦГБ»</w:t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2021 2024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КГБУЗ «Дальнереченская ЦГБ».</w:t>
            </w:r>
          </w:p>
        </w:tc>
        <w:tc>
          <w:tcPr>
            <w:tcW w:w="27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проведено консультаций по вопросам отказа от табакокурения в наркологическом кабинете в КГБУЗ «</w:t>
            </w: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Дальнереченская ЦГБ</w:t>
            </w:r>
            <w:r>
              <w:rPr>
                <w:rFonts w:eastAsia="Times New Roman" w:cs="Times New Roman"/>
                <w:kern w:val="0"/>
                <w:lang w:val="ru-RU" w:bidi="ar-SA"/>
              </w:rPr>
              <w:t xml:space="preserve">», шт. </w:t>
            </w:r>
          </w:p>
        </w:tc>
        <w:tc>
          <w:tcPr>
            <w:tcW w:w="89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10</w:t>
            </w:r>
          </w:p>
        </w:tc>
        <w:tc>
          <w:tcPr>
            <w:tcW w:w="915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13</w:t>
            </w:r>
          </w:p>
        </w:tc>
        <w:tc>
          <w:tcPr>
            <w:tcW w:w="898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792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19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13553" w:type="dxa"/>
            <w:gridSpan w:val="9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  <w:t>7. Мероприятия по организации физкультурно-спортивной работы  по месту жительства граждан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7.1.</w:t>
            </w:r>
          </w:p>
        </w:tc>
        <w:tc>
          <w:tcPr>
            <w:tcW w:w="32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Формирование коллективов физкультурно-спортивной направленности по месту жительства граждан: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- скандинавская ходьба;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- волейбол;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- футбол;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- баскетбол: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- хоккей с шайбой;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- фитнес аэробика;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- настольный теннис;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- велоспорт.</w:t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2021 2024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МКУ «РИДЦ» Дальнереченского муниципального района;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сформировано новых коллективов/ возрастных групп/  ед.</w:t>
            </w:r>
          </w:p>
        </w:tc>
        <w:tc>
          <w:tcPr>
            <w:tcW w:w="89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>0</w:t>
            </w:r>
          </w:p>
        </w:tc>
        <w:tc>
          <w:tcPr>
            <w:tcW w:w="915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898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792" w:type="dxa"/>
            <w:tcBorders/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</w:tr>
      <w:tr>
        <w:trPr/>
        <w:tc>
          <w:tcPr>
            <w:tcW w:w="509" w:type="dxa"/>
            <w:tcBorders>
              <w:top w:val="nil"/>
            </w:tcBorders>
          </w:tcPr>
          <w:p>
            <w:pPr>
              <w:pStyle w:val="Style27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7,2</w:t>
            </w:r>
          </w:p>
        </w:tc>
        <w:tc>
          <w:tcPr>
            <w:tcW w:w="320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/>
              <w:t>Организация физкультурно массовой работы по месту жительства</w:t>
            </w:r>
          </w:p>
        </w:tc>
        <w:tc>
          <w:tcPr>
            <w:tcW w:w="10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/>
              <w:t>2021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/>
              <w:t>2024</w:t>
            </w:r>
          </w:p>
        </w:tc>
        <w:tc>
          <w:tcPr>
            <w:tcW w:w="306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bidi="ar-SA"/>
              </w:rPr>
              <w:t>МКУ «РИДЦ» Дальнереченского муниципального района;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Количество тренеров</w:t>
            </w:r>
          </w:p>
        </w:tc>
        <w:tc>
          <w:tcPr>
            <w:tcW w:w="898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15" w:type="dxa"/>
            <w:tcBorders>
              <w:top w:val="nil"/>
            </w:tcBorders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12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</w:tbl>
    <w:p>
      <w:pPr>
        <w:pStyle w:val="Style23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spacing w:before="0" w:after="0"/>
        <w:ind w:left="283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Приложене № 2</w:t>
      </w:r>
    </w:p>
    <w:p>
      <w:pPr>
        <w:pStyle w:val="Style23"/>
        <w:spacing w:before="0" w:after="0"/>
        <w:ind w:left="283" w:hanging="0"/>
        <w:jc w:val="right"/>
        <w:rPr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ar-SA" w:bidi="ar-SA"/>
        </w:rPr>
        <w:t>к постановлению</w:t>
      </w:r>
      <w:r>
        <w:rPr>
          <w:sz w:val="24"/>
          <w:szCs w:val="24"/>
        </w:rPr>
        <w:t xml:space="preserve"> администрации </w:t>
      </w:r>
    </w:p>
    <w:p>
      <w:pPr>
        <w:pStyle w:val="Style23"/>
        <w:spacing w:before="0" w:after="0"/>
        <w:ind w:left="283" w:hanging="0"/>
        <w:jc w:val="right"/>
        <w:rPr>
          <w:sz w:val="24"/>
          <w:szCs w:val="24"/>
        </w:rPr>
      </w:pPr>
      <w:r>
        <w:rPr>
          <w:sz w:val="24"/>
          <w:szCs w:val="24"/>
        </w:rPr>
        <w:t>Дальнереченского муниципального района</w:t>
      </w:r>
    </w:p>
    <w:p>
      <w:pPr>
        <w:pStyle w:val="Style23"/>
        <w:spacing w:before="0" w:after="0"/>
        <w:ind w:left="283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15.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ar-SA" w:bidi="ar-SA"/>
        </w:rPr>
        <w:t>11</w:t>
      </w:r>
      <w:r>
        <w:rPr>
          <w:sz w:val="24"/>
          <w:szCs w:val="24"/>
        </w:rPr>
        <w:t xml:space="preserve">.2021г. №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ar-SA" w:bidi="ar-SA"/>
        </w:rPr>
        <w:t>501</w:t>
      </w:r>
      <w:r>
        <w:rPr>
          <w:sz w:val="24"/>
          <w:szCs w:val="24"/>
        </w:rPr>
        <w:t>-па</w:t>
      </w:r>
    </w:p>
    <w:p>
      <w:pPr>
        <w:pStyle w:val="Style23"/>
        <w:ind w:left="-12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ind w:left="-120" w:hanging="0"/>
        <w:jc w:val="center"/>
        <w:rPr>
          <w:b/>
          <w:b/>
        </w:rPr>
      </w:pPr>
      <w:r>
        <w:rPr>
          <w:b/>
        </w:rPr>
        <w:t>СВЕДЕНИЯ об источниках финансирования и мероприятиях программы</w:t>
      </w:r>
    </w:p>
    <w:tbl>
      <w:tblPr>
        <w:tblW w:w="5000" w:type="pct"/>
        <w:jc w:val="left"/>
        <w:tblInd w:w="0" w:type="dxa"/>
        <w:tblCellMar>
          <w:top w:w="0" w:type="dxa"/>
          <w:left w:w="31" w:type="dxa"/>
          <w:bottom w:w="0" w:type="dxa"/>
          <w:right w:w="31" w:type="dxa"/>
        </w:tblCellMar>
        <w:tblLook w:val="0000" w:noVBand="0" w:noHBand="0" w:lastColumn="0" w:firstColumn="0" w:lastRow="0" w:firstRow="0"/>
      </w:tblPr>
      <w:tblGrid>
        <w:gridCol w:w="698"/>
        <w:gridCol w:w="5476"/>
        <w:gridCol w:w="1237"/>
        <w:gridCol w:w="1573"/>
        <w:gridCol w:w="1425"/>
        <w:gridCol w:w="1534"/>
        <w:gridCol w:w="1553"/>
        <w:gridCol w:w="1299"/>
      </w:tblGrid>
      <w:tr>
        <w:trPr>
          <w:tblHeader w:val="true"/>
          <w:trHeight w:val="248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476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Источник </w:t>
            </w:r>
          </w:p>
        </w:tc>
        <w:tc>
          <w:tcPr>
            <w:tcW w:w="12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Всего, тыс. руб.</w:t>
            </w:r>
          </w:p>
        </w:tc>
        <w:tc>
          <w:tcPr>
            <w:tcW w:w="738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годам</w:t>
            </w:r>
          </w:p>
        </w:tc>
      </w:tr>
      <w:tr>
        <w:trPr>
          <w:tblHeader w:val="true"/>
          <w:trHeight w:val="316" w:hRule="atLeast"/>
          <w:cantSplit w:val="true"/>
        </w:trPr>
        <w:tc>
          <w:tcPr>
            <w:tcW w:w="6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vMerge w:val="continue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>
        <w:trPr>
          <w:trHeight w:val="250" w:hRule="atLeast"/>
          <w:cantSplit w:val="true"/>
        </w:trPr>
        <w:tc>
          <w:tcPr>
            <w:tcW w:w="147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1. Создание  рабочей группы  по разработке комплекса мер по движению за здоровый образ жизни в Дальнереченском муниципальном районе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Всего по мероприятию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147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2. Проведение конкурса среди организаций Дальнереченского муниципального района  всех форм собственности на определение лучшей организации, которая внедрила корпоративную программу укрепления здоровья сотрудников на рабочем месте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Всего по мероприятию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147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3. Выявление уровня потребления алкоголя населением, табакокурения табака и потребления иной никотинсодержащей продукции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Всего по мероприятию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147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4. Мониторинг физической активности граждан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Всего по мероприятию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147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5. Анализ динамики показателей заболеваемости и смертности населения от основных ХНИЗ (новообразования, болезни системы кровообращения, дыхания, пищеварения)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80" w:hRule="atLeast"/>
          <w:cantSplit w:val="true"/>
        </w:trPr>
        <w:tc>
          <w:tcPr>
            <w:tcW w:w="147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6. Изготовление и распространение наглядной агитации (листовок, буклетов, календарей) санитарно-просветительской направленности и здорового образа жизни</w:t>
            </w:r>
          </w:p>
        </w:tc>
      </w:tr>
      <w:tr>
        <w:trPr>
          <w:trHeight w:val="8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35,0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35,0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rPr>
          <w:trHeight w:val="250" w:hRule="atLeast"/>
          <w:cantSplit w:val="true"/>
        </w:trPr>
        <w:tc>
          <w:tcPr>
            <w:tcW w:w="147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7. Обеспечение размещения в учреждениях на информационных стендах наглядной агитации санитарно-просветительской направленности и здорового образа жизни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147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8. Систематическое  освещение вопросов по пропаганде здорового образа жизни, преодолению вредных привычек, в том числе табакокурения, потребления алкогольной продукции и пива в средствах массовой информации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4,4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1,</w:t>
            </w: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1,</w:t>
            </w: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  <w:t>2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4,</w:t>
            </w: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2</w:t>
            </w:r>
          </w:p>
        </w:tc>
      </w:tr>
      <w:tr>
        <w:trPr>
          <w:trHeight w:val="250" w:hRule="atLeast"/>
          <w:cantSplit w:val="true"/>
        </w:trPr>
        <w:tc>
          <w:tcPr>
            <w:tcW w:w="147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9. Организация выставок, видео-лекториев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147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 xml:space="preserve">10. Создание пешеходного и велосипедного маршрута на территории Дальнереченского муниципального района 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rPr>
          <w:trHeight w:val="250" w:hRule="atLeast"/>
          <w:cantSplit w:val="true"/>
        </w:trPr>
        <w:tc>
          <w:tcPr>
            <w:tcW w:w="147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</w:rPr>
              <w:t xml:space="preserve">11. Строительство/обустройство открытых плоскостных сооружений для занятий физической культурой и спортом </w:t>
            </w:r>
            <w:r>
              <w:rPr>
                <w:b/>
                <w:i/>
              </w:rPr>
              <w:t>(учет финансирования мероприятий по данному мероприятию проходит по программам национального проекта в области ФКиС)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147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12. Благоустройство зелёных зон (парков, скверов, придомовых территорий)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147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13. Проведение лекций, бесед, классных часов опросов (анкетирования) среди детей, подростков и их родителей о пагубном влиянии вредных привычек (табакокурения, потребление алкоголя, наркотиков, неправильное питание) с привлечением врачей педиатров, психиатров, наркологов, сотрудников полиции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147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kern w:val="2"/>
                <w:lang w:eastAsia="hi-IN" w:bidi="hi-IN"/>
              </w:rPr>
              <w:t>14. Проведение тематических конкурсов по пропаганде ЗОЖ среди детей, подростков и их родителей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2,5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2,5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2,5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2,5</w:t>
            </w:r>
          </w:p>
        </w:tc>
      </w:tr>
      <w:tr>
        <w:trPr>
          <w:trHeight w:val="250" w:hRule="atLeast"/>
          <w:cantSplit w:val="true"/>
        </w:trPr>
        <w:tc>
          <w:tcPr>
            <w:tcW w:w="147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kern w:val="2"/>
                <w:lang w:eastAsia="hi-IN" w:bidi="hi-IN"/>
              </w:rPr>
              <w:t xml:space="preserve">15. Организация и проведение летней оздоровительной кампании, в том числе </w:t>
            </w:r>
            <w:r>
              <w:rPr>
                <w:b/>
              </w:rPr>
              <w:t>спортивных походов и пеших экскурсий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147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16. Проведение ежегодных профилактических медицинских осмотров детей школьного возраста, в том числе на предмет выявления лиц, допускающих немедицинское потребление наркотических средств и психотропных веществ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147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17. Организация ежегодных массовых  профилактических акций, направленных на формирование здорового образа жизни.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rPr>
          <w:trHeight w:val="250" w:hRule="atLeast"/>
          <w:cantSplit w:val="true"/>
        </w:trPr>
        <w:tc>
          <w:tcPr>
            <w:tcW w:w="147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18. Проведение ежегодной диспансеризации молодёжи и старшего поколения для выявления заболеваемости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42" w:hRule="atLeast"/>
          <w:cantSplit w:val="true"/>
        </w:trPr>
        <w:tc>
          <w:tcPr>
            <w:tcW w:w="147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19. Организация консультаций по вопросам отказа от табакокурения в наркологическом кабинете в КГБУЗ «</w:t>
            </w:r>
            <w:r>
              <w:rPr>
                <w:b/>
                <w:color w:val="000000" w:themeColor="text1"/>
              </w:rPr>
              <w:t>Дальнереченская ЦГБ</w:t>
            </w:r>
            <w:r>
              <w:rPr>
                <w:b/>
              </w:rPr>
              <w:t>»</w:t>
            </w:r>
          </w:p>
        </w:tc>
      </w:tr>
      <w:tr>
        <w:trPr>
          <w:trHeight w:val="242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42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42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42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42" w:hRule="atLeast"/>
          <w:cantSplit w:val="true"/>
        </w:trPr>
        <w:tc>
          <w:tcPr>
            <w:tcW w:w="147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20. Формирование коллективов физкультурно-спортивной направленности по месту жительства граждан:</w:t>
            </w:r>
          </w:p>
        </w:tc>
      </w:tr>
      <w:tr>
        <w:trPr>
          <w:trHeight w:val="242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42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42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42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242" w:hRule="atLeast"/>
          <w:cantSplit w:val="true"/>
        </w:trPr>
        <w:tc>
          <w:tcPr>
            <w:tcW w:w="1479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21. Приобретение и поставка  спортивного инвентаря и спортивного оборудования и иного имущества для массового спорта </w:t>
            </w:r>
          </w:p>
        </w:tc>
      </w:tr>
      <w:tr>
        <w:trPr>
          <w:trHeight w:val="242" w:hRule="atLeast"/>
          <w:cantSplit w:val="true"/>
        </w:trPr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</w:rPr>
              <w:t>Всего по мероприятию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  <w:t>144,1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  <w:t>144,1</w:t>
            </w: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42" w:hRule="atLeast"/>
          <w:cantSplit w:val="true"/>
        </w:trPr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shd w:fill="FFFFFF" w:val="clear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0,0</w:t>
            </w:r>
          </w:p>
        </w:tc>
        <w:tc>
          <w:tcPr>
            <w:tcW w:w="15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0,0</w:t>
            </w: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0,0</w:t>
            </w:r>
          </w:p>
        </w:tc>
        <w:tc>
          <w:tcPr>
            <w:tcW w:w="1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0,0</w:t>
            </w:r>
          </w:p>
        </w:tc>
      </w:tr>
      <w:tr>
        <w:trPr>
          <w:trHeight w:val="242" w:hRule="atLeast"/>
          <w:cantSplit w:val="true"/>
        </w:trPr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/>
                <w:b/>
                <w:color w:val="000000"/>
                <w:kern w:val="0"/>
                <w:sz w:val="24"/>
                <w:szCs w:val="24"/>
                <w:highlight w:val="white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shd w:fill="FFFFFF" w:val="clear"/>
                <w:lang w:val="ru-RU" w:eastAsia="zh-CN" w:bidi="ar-SA"/>
              </w:rPr>
              <w:t>144,1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0,0</w:t>
            </w:r>
          </w:p>
        </w:tc>
        <w:tc>
          <w:tcPr>
            <w:tcW w:w="15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zh-CN" w:bidi="ar-SA"/>
              </w:rPr>
              <w:t>144,1</w:t>
            </w: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0,0</w:t>
            </w:r>
          </w:p>
        </w:tc>
        <w:tc>
          <w:tcPr>
            <w:tcW w:w="1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0,0</w:t>
            </w:r>
          </w:p>
        </w:tc>
      </w:tr>
      <w:tr>
        <w:trPr>
          <w:trHeight w:val="242" w:hRule="atLeast"/>
          <w:cantSplit w:val="true"/>
        </w:trPr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shd w:fill="FFFFFF" w:val="clear"/>
              </w:rPr>
              <w:t>0,0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0,0</w:t>
            </w:r>
          </w:p>
        </w:tc>
        <w:tc>
          <w:tcPr>
            <w:tcW w:w="15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highlight w:val="white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zh-CN" w:bidi="ar-SA"/>
              </w:rPr>
              <w:t>1,4</w:t>
            </w: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0,0</w:t>
            </w:r>
          </w:p>
        </w:tc>
        <w:tc>
          <w:tcPr>
            <w:tcW w:w="1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0,0</w:t>
            </w:r>
          </w:p>
        </w:tc>
      </w:tr>
      <w:tr>
        <w:trPr>
          <w:trHeight w:val="242" w:hRule="atLeast"/>
          <w:cantSplit w:val="true"/>
        </w:trPr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7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shd w:fill="auto" w:val="clear"/>
              </w:rPr>
              <w:t>22. Основное мероприятие   «Федеральный проект- спорт норма жизни»: организация физкультурно-массовой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shd w:fill="auto" w:val="clear"/>
              </w:rPr>
              <w:t>работы по месту жительства</w:t>
            </w:r>
          </w:p>
        </w:tc>
      </w:tr>
      <w:tr>
        <w:trPr>
          <w:trHeight w:val="242" w:hRule="atLeast"/>
          <w:cantSplit w:val="true"/>
        </w:trPr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hd w:fill="auto" w:val="clear"/>
              </w:rPr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0,0</w:t>
            </w:r>
          </w:p>
        </w:tc>
        <w:tc>
          <w:tcPr>
            <w:tcW w:w="15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0,0</w:t>
            </w: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0,0</w:t>
            </w:r>
          </w:p>
        </w:tc>
        <w:tc>
          <w:tcPr>
            <w:tcW w:w="1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0,0</w:t>
            </w:r>
          </w:p>
        </w:tc>
      </w:tr>
      <w:tr>
        <w:trPr>
          <w:trHeight w:val="242" w:hRule="atLeast"/>
          <w:cantSplit w:val="true"/>
        </w:trPr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</w:t>
            </w:r>
            <w:r>
              <w:rPr/>
              <w:t xml:space="preserve">региона 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hd w:fill="auto" w:val="clear"/>
              </w:rPr>
              <w:t>774,0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0,0</w:t>
            </w:r>
          </w:p>
        </w:tc>
        <w:tc>
          <w:tcPr>
            <w:tcW w:w="15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shd w:fill="auto" w:val="clear"/>
                <w:lang w:val="ru-RU" w:eastAsia="zh-CN" w:bidi="ar-SA"/>
              </w:rPr>
              <w:t>187,4</w:t>
            </w: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200,5</w:t>
            </w:r>
          </w:p>
        </w:tc>
        <w:tc>
          <w:tcPr>
            <w:tcW w:w="1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386,1</w:t>
            </w:r>
          </w:p>
        </w:tc>
      </w:tr>
      <w:tr>
        <w:trPr>
          <w:trHeight w:val="242" w:hRule="atLeast"/>
          <w:cantSplit w:val="true"/>
        </w:trPr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firstLine="394"/>
              <w:rPr>
                <w:color w:val="000000"/>
              </w:rPr>
            </w:pPr>
            <w:r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hd w:fill="auto" w:val="clear"/>
              </w:rPr>
              <w:t>7,6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0,0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0,0</w:t>
            </w:r>
          </w:p>
        </w:tc>
        <w:tc>
          <w:tcPr>
            <w:tcW w:w="15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    </w:t>
            </w:r>
            <w:r>
              <w:rPr>
                <w:rFonts w:eastAsia="Times New Roman" w:cs="Times New Roman"/>
                <w:b w:val="false"/>
                <w:bCs w:val="false"/>
                <w:sz w:val="22"/>
                <w:szCs w:val="22"/>
                <w:shd w:fill="auto" w:val="clear"/>
              </w:rPr>
              <w:t>1,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2"/>
                <w:szCs w:val="22"/>
                <w:shd w:fill="auto" w:val="clear"/>
                <w:lang w:val="ru-RU" w:eastAsia="zh-CN" w:bidi="ar-SA"/>
              </w:rPr>
              <w:t>9</w:t>
            </w: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    </w:t>
            </w:r>
            <w:r>
              <w:rPr>
                <w:rFonts w:cs="Times New Roman"/>
                <w:b w:val="false"/>
                <w:bCs w:val="false"/>
                <w:sz w:val="22"/>
                <w:szCs w:val="22"/>
                <w:shd w:fill="auto" w:val="clear"/>
              </w:rPr>
              <w:t>2,0</w:t>
            </w:r>
          </w:p>
        </w:tc>
        <w:tc>
          <w:tcPr>
            <w:tcW w:w="1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    </w:t>
            </w:r>
            <w:r>
              <w:rPr>
                <w:rFonts w:cs="Times New Roman"/>
                <w:b w:val="false"/>
                <w:bCs w:val="false"/>
                <w:sz w:val="22"/>
                <w:szCs w:val="22"/>
                <w:shd w:fill="auto" w:val="clear"/>
              </w:rPr>
              <w:t>3,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2"/>
                <w:szCs w:val="22"/>
                <w:shd w:fill="auto" w:val="clear"/>
                <w:lang w:val="ru-RU" w:eastAsia="zh-CN" w:bidi="ar-SA"/>
              </w:rPr>
              <w:t>9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firstLine="394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Всего средства местного бюджета</w:t>
            </w:r>
          </w:p>
        </w:tc>
        <w:tc>
          <w:tcPr>
            <w:tcW w:w="123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113,6</w:t>
            </w:r>
          </w:p>
        </w:tc>
        <w:tc>
          <w:tcPr>
            <w:tcW w:w="157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hd w:fill="auto" w:val="clear"/>
              </w:rPr>
              <w:t>0,0</w:t>
            </w:r>
          </w:p>
        </w:tc>
        <w:tc>
          <w:tcPr>
            <w:tcW w:w="142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8,5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26,9</w:t>
            </w:r>
          </w:p>
        </w:tc>
        <w:tc>
          <w:tcPr>
            <w:tcW w:w="155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40,6</w:t>
            </w:r>
          </w:p>
        </w:tc>
        <w:tc>
          <w:tcPr>
            <w:tcW w:w="129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37,6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firstLine="394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Всего средства бюджета региона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918,1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hd w:fill="auto" w:val="clear"/>
              </w:rPr>
              <w:t>0,0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hd w:fill="auto" w:val="clear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331,5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200,5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386,1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firstLine="394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Внебюджетные средства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hd w:fill="auto" w:val="clear"/>
              </w:rPr>
              <w:t>0,0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hd w:fill="auto" w:val="clear"/>
              </w:rPr>
              <w:t>0,0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hd w:fill="auto" w:val="clear"/>
              </w:rPr>
              <w:t>0,0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hd w:fill="auto" w:val="clear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hd w:fill="auto" w:val="clear"/>
              </w:rPr>
              <w:t>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hd w:fill="auto" w:val="clear"/>
              </w:rPr>
              <w:t>0,0</w:t>
            </w:r>
          </w:p>
        </w:tc>
      </w:tr>
      <w:tr>
        <w:trPr>
          <w:trHeight w:val="250" w:hRule="atLeast"/>
          <w:cantSplit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firstLine="394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Всего по программе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1031,7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hd w:fill="auto" w:val="clear"/>
              </w:rPr>
              <w:t>0,00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8,5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358,4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241,1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423,7</w:t>
            </w:r>
          </w:p>
        </w:tc>
      </w:tr>
    </w:tbl>
    <w:p>
      <w:pPr>
        <w:pStyle w:val="Normal"/>
        <w:tabs>
          <w:tab w:val="clear" w:pos="708"/>
          <w:tab w:val="left" w:pos="3405" w:leader="none"/>
        </w:tabs>
        <w:ind w:right="360" w:hanging="0"/>
        <w:jc w:val="both"/>
        <w:rPr>
          <w:lang w:eastAsia="ar-SA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/>
        <w:t xml:space="preserve">                                                              </w:t>
      </w:r>
    </w:p>
    <w:sectPr>
      <w:headerReference w:type="default" r:id="rId20"/>
      <w:headerReference w:type="first" r:id="rId21"/>
      <w:footerReference w:type="default" r:id="rId22"/>
      <w:footerReference w:type="first" r:id="rId23"/>
      <w:type w:val="nextPage"/>
      <w:pgSz w:orient="landscape" w:w="16838" w:h="11906"/>
      <w:pgMar w:left="1134" w:right="907" w:header="0" w:top="993" w:footer="72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Courier New">
    <w:charset w:val="01"/>
    <w:family w:val="swiss"/>
    <w:pitch w:val="default"/>
  </w:font>
  <w:font w:name="Symbol">
    <w:charset w:val="01"/>
    <w:family w:val="swiss"/>
    <w:pitch w:val="default"/>
  </w:font>
  <w:font w:name="Roboto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57804468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  <w:p>
        <w:pPr>
          <w:pStyle w:val="Style26"/>
          <w:ind w:right="360" w:hanging="0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46086667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27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0514875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26</w:t>
        </w:r>
        <w:r>
          <w:rPr/>
          <w:fldChar w:fldCharType="end"/>
        </w:r>
      </w:p>
      <w:p>
        <w:pPr>
          <w:pStyle w:val="Style26"/>
          <w:ind w:right="360" w:hanging="0"/>
          <w:rPr/>
        </w:pPr>
        <w:r>
          <w:rPr/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4708176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14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>
        <w:b/>
        <w:b/>
        <w:sz w:val="28"/>
      </w:rPr>
    </w:pPr>
    <w:r>
      <w:rPr>
        <w:b/>
        <w:sz w:val="28"/>
      </w:rPr>
    </w:r>
  </w:p>
  <w:p>
    <w:pPr>
      <w:pStyle w:val="Style25"/>
      <w:jc w:val="right"/>
      <w:rPr>
        <w:b/>
        <w:b/>
        <w:sz w:val="28"/>
      </w:rPr>
    </w:pPr>
    <w:r>
      <w:rPr>
        <w:b/>
        <w:sz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  <w:p>
    <w:pPr>
      <w:pStyle w:val="Style25"/>
      <w:jc w:val="right"/>
      <w:rPr>
        <w:b/>
        <w:b/>
      </w:rPr>
    </w:pPr>
    <w:r>
      <w:rPr>
        <w:b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>
        <w:b/>
        <w:b/>
        <w:sz w:val="28"/>
      </w:rPr>
    </w:pPr>
    <w:r>
      <w:rPr>
        <w:b/>
        <w:sz w:val="28"/>
      </w:rPr>
    </w:r>
  </w:p>
  <w:p>
    <w:pPr>
      <w:pStyle w:val="Style25"/>
      <w:jc w:val="right"/>
      <w:rPr>
        <w:b/>
        <w:b/>
        <w:sz w:val="28"/>
      </w:rPr>
    </w:pPr>
    <w:r>
      <w:rPr>
        <w:b/>
        <w:sz w:val="28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  <w:p>
    <w:pPr>
      <w:pStyle w:val="Style25"/>
      <w:jc w:val="right"/>
      <w:rPr>
        <w:b/>
        <w:b/>
      </w:rPr>
    </w:pPr>
    <w:r>
      <w:rPr>
        <w:b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59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f1751"/>
    <w:pPr>
      <w:keepNext w:val="true"/>
      <w:ind w:firstLine="540"/>
      <w:jc w:val="both"/>
      <w:outlineLvl w:val="0"/>
    </w:pPr>
    <w:rPr>
      <w:rFonts w:ascii="Arial" w:hAnsi="Arial" w:eastAsia="Calibri" w:cs="Arial"/>
      <w:b/>
      <w:bCs/>
      <w:lang w:eastAsia="en-US"/>
    </w:rPr>
  </w:style>
  <w:style w:type="paragraph" w:styleId="2">
    <w:name w:val="Heading 2"/>
    <w:basedOn w:val="Normal"/>
    <w:next w:val="Normal"/>
    <w:link w:val="20"/>
    <w:qFormat/>
    <w:rsid w:val="001f1751"/>
    <w:pPr>
      <w:keepNext w:val="true"/>
      <w:ind w:firstLine="709"/>
      <w:jc w:val="center"/>
      <w:outlineLvl w:val="1"/>
    </w:pPr>
    <w:rPr>
      <w:rFonts w:ascii="Arial" w:hAnsi="Arial" w:eastAsia="Calibri" w:cs="Arial"/>
      <w:b/>
    </w:rPr>
  </w:style>
  <w:style w:type="paragraph" w:styleId="3">
    <w:name w:val="Heading 3"/>
    <w:basedOn w:val="Normal"/>
    <w:next w:val="Normal"/>
    <w:link w:val="30"/>
    <w:qFormat/>
    <w:rsid w:val="001f1751"/>
    <w:pPr>
      <w:keepNext w:val="true"/>
      <w:ind w:firstLine="709"/>
      <w:jc w:val="center"/>
      <w:outlineLvl w:val="2"/>
    </w:pPr>
    <w:rPr>
      <w:rFonts w:ascii="Arial" w:hAnsi="Arial" w:eastAsia="Calibri" w:cs="Arial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1f1751"/>
    <w:rPr>
      <w:rFonts w:ascii="Arial" w:hAnsi="Arial" w:eastAsia="Calibri" w:cs="Arial"/>
      <w:b/>
      <w:bCs/>
      <w:sz w:val="24"/>
      <w:szCs w:val="24"/>
      <w:lang w:val="ru-RU" w:eastAsia="en-US" w:bidi="ar-SA"/>
    </w:rPr>
  </w:style>
  <w:style w:type="character" w:styleId="21" w:customStyle="1">
    <w:name w:val="Заголовок 2 Знак"/>
    <w:link w:val="2"/>
    <w:qFormat/>
    <w:rsid w:val="001f1751"/>
    <w:rPr>
      <w:rFonts w:ascii="Arial" w:hAnsi="Arial" w:eastAsia="Calibri" w:cs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1f1751"/>
    <w:rPr>
      <w:rFonts w:ascii="Arial" w:hAnsi="Arial" w:eastAsia="Calibri" w:cs="Arial"/>
      <w:b/>
      <w:sz w:val="22"/>
      <w:szCs w:val="22"/>
      <w:lang w:val="ru-RU" w:eastAsia="ru-RU" w:bidi="ar-SA"/>
    </w:rPr>
  </w:style>
  <w:style w:type="character" w:styleId="Style11" w:customStyle="1">
    <w:name w:val="Основной текст с отступом Знак"/>
    <w:link w:val="a4"/>
    <w:qFormat/>
    <w:rsid w:val="00717a8e"/>
    <w:rPr>
      <w:sz w:val="24"/>
      <w:szCs w:val="24"/>
    </w:rPr>
  </w:style>
  <w:style w:type="character" w:styleId="Style12" w:customStyle="1">
    <w:name w:val="Основной текст Знак"/>
    <w:link w:val="a8"/>
    <w:uiPriority w:val="99"/>
    <w:semiHidden/>
    <w:qFormat/>
    <w:rsid w:val="009e1c31"/>
    <w:rPr>
      <w:sz w:val="24"/>
      <w:szCs w:val="24"/>
    </w:rPr>
  </w:style>
  <w:style w:type="character" w:styleId="Style13" w:customStyle="1">
    <w:name w:val="Текст выноски Знак"/>
    <w:link w:val="aa"/>
    <w:uiPriority w:val="99"/>
    <w:semiHidden/>
    <w:qFormat/>
    <w:rsid w:val="00bf2c40"/>
    <w:rPr>
      <w:rFonts w:ascii="Tahoma" w:hAnsi="Tahoma" w:cs="Tahoma"/>
      <w:sz w:val="16"/>
      <w:szCs w:val="16"/>
    </w:rPr>
  </w:style>
  <w:style w:type="character" w:styleId="Style14" w:customStyle="1">
    <w:name w:val="Цветовое выделение"/>
    <w:qFormat/>
    <w:rsid w:val="009809ba"/>
    <w:rPr>
      <w:b/>
      <w:bCs/>
      <w:color w:val="26282F"/>
    </w:rPr>
  </w:style>
  <w:style w:type="character" w:styleId="Style15" w:customStyle="1">
    <w:name w:val="Верхний колонтитул Знак"/>
    <w:basedOn w:val="DefaultParagraphFont"/>
    <w:link w:val="ad"/>
    <w:uiPriority w:val="99"/>
    <w:semiHidden/>
    <w:qFormat/>
    <w:rsid w:val="006b3242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f"/>
    <w:uiPriority w:val="99"/>
    <w:semiHidden/>
    <w:qFormat/>
    <w:rsid w:val="006b3242"/>
    <w:rPr>
      <w:sz w:val="24"/>
      <w:szCs w:val="24"/>
    </w:rPr>
  </w:style>
  <w:style w:type="character" w:styleId="22">
    <w:name w:val="Основной текст (2)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Mwheadline">
    <w:name w:val="mw-headline"/>
    <w:basedOn w:val="DefaultParagraphFont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9"/>
    <w:uiPriority w:val="99"/>
    <w:semiHidden/>
    <w:unhideWhenUsed/>
    <w:rsid w:val="009e1c31"/>
    <w:pPr>
      <w:spacing w:before="0" w:after="12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Msonormalcxspmiddle" w:customStyle="1">
    <w:name w:val="msonormalcxspmiddle"/>
    <w:basedOn w:val="Normal"/>
    <w:qFormat/>
    <w:rsid w:val="001f1751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1f175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3">
    <w:name w:val="Body Text Indent"/>
    <w:basedOn w:val="Normal"/>
    <w:link w:val="a5"/>
    <w:rsid w:val="00717a8e"/>
    <w:pPr>
      <w:ind w:left="2160" w:hanging="0"/>
      <w:jc w:val="both"/>
    </w:pPr>
    <w:rPr/>
  </w:style>
  <w:style w:type="paragraph" w:styleId="NoSpacing">
    <w:name w:val="No Spacing"/>
    <w:qFormat/>
    <w:rsid w:val="004d121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91" w:customStyle="1">
    <w:name w:val="Style9"/>
    <w:basedOn w:val="Normal"/>
    <w:qFormat/>
    <w:rsid w:val="009e1c31"/>
    <w:pPr>
      <w:widowControl w:val="false"/>
      <w:spacing w:lineRule="exact" w:line="317"/>
      <w:jc w:val="center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bf2c40"/>
    <w:pPr/>
    <w:rPr>
      <w:rFonts w:ascii="Tahoma" w:hAnsi="Tahoma"/>
      <w:sz w:val="16"/>
      <w:szCs w:val="16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e"/>
    <w:uiPriority w:val="99"/>
    <w:semiHidden/>
    <w:unhideWhenUsed/>
    <w:rsid w:val="006b324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f0"/>
    <w:uiPriority w:val="99"/>
    <w:semiHidden/>
    <w:unhideWhenUsed/>
    <w:rsid w:val="006b324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Title" w:customStyle="1">
    <w:name w:val="ConsTitle"/>
    <w:qFormat/>
    <w:rsid w:val="00350e3d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ru-RU" w:bidi="ar-SA"/>
    </w:rPr>
  </w:style>
  <w:style w:type="paragraph" w:styleId="NormalWeb">
    <w:name w:val="Normal (Web)"/>
    <w:basedOn w:val="Normal"/>
    <w:qFormat/>
    <w:pPr>
      <w:suppressAutoHyphens w:val="false"/>
      <w:spacing w:beforeAutospacing="1" w:afterAutospacing="1"/>
    </w:pPr>
    <w:rPr>
      <w:lang w:eastAsia="ru-RU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ru-RU" w:eastAsia="en-US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12">
    <w:name w:val="Абзац списка1"/>
    <w:basedOn w:val="Normal"/>
    <w:qFormat/>
    <w:pPr>
      <w:suppressAutoHyphens w:val="false"/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e4ed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docs.cntd.ru/document/902312609" TargetMode="External"/><Relationship Id="rId4" Type="http://schemas.openxmlformats.org/officeDocument/2006/relationships/hyperlink" Target="http://docs.cntd.ru/document/902064587" TargetMode="External"/><Relationship Id="rId5" Type="http://schemas.openxmlformats.org/officeDocument/2006/relationships/hyperlink" Target="http://docs.cntd.ru/document/499002954" TargetMode="External"/><Relationship Id="rId6" Type="http://schemas.openxmlformats.org/officeDocument/2006/relationships/hyperlink" Target="https://sportprimorsky.ru/activities/government_programs/11669-postanovlenie-apk-920-pa-ot-27122019-ob-utverzhdenii-gosprogrammy-razvitie-fizkultury-i-sporta-primorskogo-kraya-na-2020-2027-gody.html" TargetMode="External"/><Relationship Id="rId7" Type="http://schemas.openxmlformats.org/officeDocument/2006/relationships/hyperlink" Target="https://ru.wikipedia.org/wiki/&#1055;&#1086;&#1078;&#1072;&#1088;&#1089;&#1082;&#1080;&#1081;_&#1088;&#1072;&#1081;&#1086;&#1085;" TargetMode="External"/><Relationship Id="rId8" Type="http://schemas.openxmlformats.org/officeDocument/2006/relationships/hyperlink" Target="https://ru.wikipedia.org/wiki/&#1050;&#1088;&#1072;&#1089;&#1085;&#1086;&#1072;&#1088;&#1084;&#1077;&#1081;&#1089;&#1082;&#1080;&#1081;_&#1088;&#1072;&#1081;&#1086;&#1085;_(&#1055;&#1088;&#1080;&#1084;&#1086;&#1088;&#1089;&#1082;&#1080;&#1081;_&#1082;&#1088;&#1072;&#1081;)" TargetMode="External"/><Relationship Id="rId9" Type="http://schemas.openxmlformats.org/officeDocument/2006/relationships/hyperlink" Target="https://ru.wikipedia.org/wiki/&#1063;&#1091;&#1075;&#1091;&#1077;&#1074;&#1089;&#1082;&#1080;&#1081;_&#1088;&#1072;&#1081;&#1086;&#1085;_(&#1055;&#1088;&#1080;&#1084;&#1086;&#1088;&#1089;&#1082;&#1080;&#1081;_&#1082;&#1088;&#1072;&#1081;)" TargetMode="External"/><Relationship Id="rId10" Type="http://schemas.openxmlformats.org/officeDocument/2006/relationships/hyperlink" Target="https://tochka-na-karte.ru/Goroda-i-Gosudarstva/246-Khabarovsk.html" TargetMode="External"/><Relationship Id="rId11" Type="http://schemas.openxmlformats.org/officeDocument/2006/relationships/hyperlink" Target="https://tochka-na-karte.ru/Goroda-i-Gosudarstva/271-Vladivostok.html" TargetMode="External"/><Relationship Id="rId12" Type="http://schemas.openxmlformats.org/officeDocument/2006/relationships/hyperlink" Target="http://docs.cntd.ru/document/902312609" TargetMode="External"/><Relationship Id="rId13" Type="http://schemas.openxmlformats.org/officeDocument/2006/relationships/hyperlink" Target="http://docs.cntd.ru/document/902064587" TargetMode="External"/><Relationship Id="rId14" Type="http://schemas.openxmlformats.org/officeDocument/2006/relationships/hyperlink" Target="http://docs.cntd.ru/document/499002954" TargetMode="External"/><Relationship Id="rId15" Type="http://schemas.openxmlformats.org/officeDocument/2006/relationships/hyperlink" Target="https://sportprimorsky.ru/activities/government_programs/11669-postanovlenie-apk-920-pa-ot-27122019-ob-utverzhdenii-gosprogrammy-razvitie-fizkultury-i-sporta-primorskogo-kraya-na-2020-2027-gody.html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20" Type="http://schemas.openxmlformats.org/officeDocument/2006/relationships/header" Target="header3.xml"/><Relationship Id="rId21" Type="http://schemas.openxmlformats.org/officeDocument/2006/relationships/header" Target="header4.xml"/><Relationship Id="rId22" Type="http://schemas.openxmlformats.org/officeDocument/2006/relationships/footer" Target="footer3.xml"/><Relationship Id="rId23" Type="http://schemas.openxmlformats.org/officeDocument/2006/relationships/footer" Target="footer4.xm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<Relationship Id="rId2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48229-3092-49D0-8274-ADAAE935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LibreOffice/6.4.4.2$Linux_X86_64 LibreOffice_project/40$Build-2</Application>
  <Pages>27</Pages>
  <Words>5464</Words>
  <Characters>38435</Characters>
  <CharactersWithSpaces>43407</CharactersWithSpaces>
  <Paragraphs>1202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2021-01-21T06:32:00Z</dcterms:created>
  <dc:creator>User</dc:creator>
  <dc:description/>
  <dc:language>ru-RU</dc:language>
  <cp:lastModifiedBy/>
  <cp:lastPrinted>2021-11-15T10:31:29Z</cp:lastPrinted>
  <dcterms:modified xsi:type="dcterms:W3CDTF">2021-11-17T10:56:04Z</dcterms:modified>
  <cp:revision>9</cp:revision>
  <dc:subject/>
  <dc:title>МУНИЦИПАЛЬНАЯ ЦЕЛЕВАЯ ПРОГРАММА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