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429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429"/>
          <w:tab w:val="left" w:pos="3420" w:leader="none"/>
        </w:tabs>
        <w:spacing w:lineRule="auto" w:line="240" w:before="0" w:after="0"/>
        <w:ind w:left="-18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30 сентября 2021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№  438-па</w:t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29 сентября 2017 года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498-па «Об утверждении Примерного положения об оплате труда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связи с организационно-штатными изменениями, в соответствии с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Внести с 1 декабря 2021 года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района, утвержденное постановлением администрации Дальнереченсого муниципального района от 29 сентября 2017 года № 498-па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пункт 9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12103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7"/>
        <w:gridCol w:w="4758"/>
      </w:tblGrid>
      <w:tr>
        <w:trPr>
          <w:trHeight w:val="1204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работе с молодежью и спортом</w:t>
            </w:r>
          </w:p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12261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организационной работе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12261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И.о. главы администрации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</w:t>
        <w:tab/>
        <w:tab/>
        <w:tab/>
        <w:tab/>
        <w:t xml:space="preserve">                                      </w:t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А.Г. Попов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7ea"/>
    <w:pPr>
      <w:spacing w:before="0" w:after="200"/>
      <w:ind w:left="720" w:hanging="0"/>
      <w:contextualSpacing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90EA-5B2C-4F3D-AB73-9B10D1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Application>LibreOffice/7.0.3.1$Windows_X86_64 LibreOffice_project/d7547858d014d4cf69878db179d326fc3483e082</Application>
  <Pages>2</Pages>
  <Words>278</Words>
  <Characters>2135</Characters>
  <CharactersWithSpaces>2464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2021-09-30T11:52:53Z</cp:lastPrinted>
  <dcterms:modified xsi:type="dcterms:W3CDTF">2021-09-30T11:57:18Z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