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  <w:lang w:val="en-US"/>
        </w:rPr>
        <w:t>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180" w:leader="none"/>
        </w:tabs>
        <w:jc w:val="both"/>
        <w:rPr>
          <w:shd w:fill="auto" w:val="clear"/>
        </w:rPr>
      </w:pPr>
      <w:r>
        <w:rPr>
          <w:b/>
          <w:color w:val="111111"/>
          <w:shd w:fill="auto" w:val="clear"/>
        </w:rPr>
        <w:t xml:space="preserve">     </w:t>
      </w:r>
      <w:r>
        <w:rPr>
          <w:rFonts w:eastAsia="Times New Roman" w:cs="Times New Roman"/>
          <w:b/>
          <w:color w:val="111111"/>
          <w:kern w:val="0"/>
          <w:sz w:val="24"/>
          <w:szCs w:val="24"/>
          <w:shd w:fill="auto" w:val="clear"/>
          <w:lang w:val="ru-RU" w:eastAsia="ru-RU" w:bidi="ar-SA"/>
        </w:rPr>
        <w:t>17</w:t>
      </w:r>
      <w:r>
        <w:rPr>
          <w:b/>
          <w:color w:val="111111"/>
          <w:shd w:fill="auto" w:val="clear"/>
        </w:rPr>
        <w:t xml:space="preserve"> </w:t>
      </w:r>
      <w:r>
        <w:rPr>
          <w:rFonts w:eastAsia="Times New Roman" w:cs="Times New Roman"/>
          <w:b/>
          <w:color w:val="111111"/>
          <w:kern w:val="0"/>
          <w:sz w:val="24"/>
          <w:szCs w:val="24"/>
          <w:shd w:fill="auto" w:val="clear"/>
          <w:lang w:val="ru-RU" w:eastAsia="ru-RU" w:bidi="ar-SA"/>
        </w:rPr>
        <w:t>августа</w:t>
      </w:r>
      <w:r>
        <w:rPr>
          <w:b/>
          <w:color w:val="111111"/>
          <w:shd w:fill="auto" w:val="clear"/>
        </w:rPr>
        <w:t xml:space="preserve"> 2021 г.                           г. Дальнереченск</w:t>
      </w:r>
      <w:r>
        <w:rPr>
          <w:b/>
          <w:shd w:fill="auto" w:val="clear"/>
        </w:rPr>
        <w:t xml:space="preserve">                                                      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355</w:t>
      </w:r>
      <w:r>
        <w:rPr>
          <w:b/>
          <w:color w:val="111111"/>
          <w:shd w:fill="auto" w:val="clear"/>
        </w:rPr>
        <w:t>-па</w:t>
        <w:tab/>
      </w:r>
    </w:p>
    <w:p>
      <w:pPr>
        <w:pStyle w:val="Normal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Normal"/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>О внесении изменений в  постановление администрации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от 23 октября 2017 года № 524-па «Об утверждении  муниципальной программы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  <w:r>
        <w:rPr>
          <w:b/>
          <w:sz w:val="28"/>
          <w:szCs w:val="28"/>
        </w:rPr>
        <w:t>»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</w:p>
    <w:p>
      <w:pPr>
        <w:pStyle w:val="ConsPlusTitle"/>
        <w:widowControl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Паспорт Программы изложить в редакции Приложения № 1 к настоящему Постановлению.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1 к Постановлению изложить в редакции Приложения № 2 к настоящему постановлению.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sz w:val="26"/>
          <w:szCs w:val="26"/>
        </w:rPr>
        <w:t xml:space="preserve">. В Разделе  6  Программы «Ресурсное обеспечение Программы» абзац первый изложить в следующей редакции: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2020 - 2024 годы составляет 10 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296</w:t>
      </w:r>
      <w:r>
        <w:rPr>
          <w:sz w:val="26"/>
          <w:szCs w:val="26"/>
        </w:rPr>
        <w:t>,87 тыс. рублей, из них, за счет средств местного бюджета: 2020 год –  136,87 тыс. рублей; 2021 год – 130,00 тыс. рублей; 2022 год – 10,00 тыс. рублей; 2023 год – 10,00 тыс. рублей; 2024 год – 10,00 тыс. рублей; за счет средств краевого бюджета 2020 год -  10 000,00 тыс. рублей».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color w:val="000000"/>
          <w:shd w:fill="auto" w:val="clear"/>
        </w:rPr>
      </w:pPr>
      <w:r>
        <w:rPr>
          <w:color w:val="000000"/>
          <w:sz w:val="20"/>
          <w:szCs w:val="20"/>
          <w:shd w:fill="auto" w:val="clear"/>
        </w:rPr>
        <w:t xml:space="preserve">от  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17</w:t>
      </w:r>
      <w:r>
        <w:rPr>
          <w:color w:val="000000"/>
          <w:sz w:val="20"/>
          <w:szCs w:val="20"/>
          <w:shd w:fill="auto" w:val="clear"/>
        </w:rPr>
        <w:t xml:space="preserve">.08.2021 г. №  355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softHyphen/>
      </w:r>
      <w:r>
        <w:rPr>
          <w:color w:val="000000"/>
          <w:sz w:val="20"/>
          <w:szCs w:val="20"/>
          <w:shd w:fill="auto" w:val="clear"/>
        </w:rPr>
        <w:t>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2"/>
        <w:gridCol w:w="7546"/>
      </w:tblGrid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 xml:space="preserve"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</w:t>
            </w:r>
            <w:r>
              <w:rPr>
                <w:sz w:val="22"/>
                <w:szCs w:val="22"/>
                <w:shd w:fill="auto" w:val="clear"/>
              </w:rPr>
              <w:t>домашних и (или) иных подобных нужд (самозанятые граждане)».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sz w:val="22"/>
                <w:szCs w:val="22"/>
                <w:shd w:fill="auto" w:val="clear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е</w:t>
            </w:r>
            <w:r>
              <w:rPr>
                <w:sz w:val="22"/>
                <w:szCs w:val="22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sz w:val="22"/>
                <w:szCs w:val="22"/>
                <w:shd w:fill="auto" w:val="clear"/>
              </w:rPr>
              <w:t xml:space="preserve"> хозяйства) в выставках, ярмарках и иных реализуемых проектах на территории Приморского края.</w:t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546" w:type="dxa"/>
            <w:tcBorders/>
          </w:tcPr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10 296,87 тыс. руб. в том числе по годам:</w:t>
            </w:r>
          </w:p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3"/>
              <w:tblW w:w="780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71"/>
              <w:gridCol w:w="2125"/>
              <w:gridCol w:w="2359"/>
            </w:tblGrid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Всего: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Местный бюджет: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10 136,87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136,87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130,00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firstLine="175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10,00 тыс. руб.</w:t>
                  </w:r>
                </w:p>
              </w:tc>
              <w:tc>
                <w:tcPr>
                  <w:tcW w:w="2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kern w:val="0"/>
                      <w:sz w:val="22"/>
                      <w:lang w:val="ru-RU" w:bidi="ar-SA"/>
                    </w:rPr>
                  </w:pPr>
                  <w:r>
                    <w:rPr>
                      <w:kern w:val="0"/>
                      <w:sz w:val="22"/>
                      <w:lang w:val="ru-RU" w:bidi="ar-SA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</w:tc>
      </w:tr>
      <w:tr>
        <w:trPr>
          <w:trHeight w:val="735" w:hRule="atLeast"/>
        </w:trPr>
        <w:tc>
          <w:tcPr>
            <w:tcW w:w="28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6" w:type="dxa"/>
            <w:tcBorders/>
          </w:tcPr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0" w:top="540" w:footer="0" w:bottom="851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</w:t>
      </w:r>
      <w:r>
        <w:rPr>
          <w:sz w:val="20"/>
          <w:szCs w:val="20"/>
          <w:shd w:fill="auto" w:val="clear"/>
        </w:rPr>
        <w:t xml:space="preserve"> к постановлению администрации Дальнереченского</w:t>
      </w:r>
    </w:p>
    <w:p>
      <w:pPr>
        <w:pStyle w:val="Normal"/>
        <w:ind w:right="111" w:hanging="0"/>
        <w:jc w:val="right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муниципального района  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17</w:t>
      </w:r>
      <w:r>
        <w:rPr>
          <w:sz w:val="20"/>
          <w:szCs w:val="20"/>
          <w:shd w:fill="auto" w:val="clear"/>
        </w:rPr>
        <w:t xml:space="preserve">.08.2021 г.  №  </w:t>
      </w:r>
      <w:r>
        <w:rPr>
          <w:rFonts w:eastAsia="Times New Roman" w:cs="Times New Roman"/>
          <w:color w:val="000000"/>
          <w:kern w:val="0"/>
          <w:sz w:val="20"/>
          <w:szCs w:val="20"/>
          <w:shd w:fill="auto" w:val="clear"/>
          <w:lang w:val="ru-RU" w:eastAsia="ru-RU" w:bidi="ar-SA"/>
        </w:rPr>
        <w:t>355</w:t>
      </w:r>
      <w:r>
        <w:rPr>
          <w:sz w:val="20"/>
          <w:szCs w:val="20"/>
          <w:shd w:fill="auto" w:val="clear"/>
        </w:rPr>
        <w:t>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975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5"/>
        <w:gridCol w:w="4665"/>
        <w:gridCol w:w="14"/>
        <w:gridCol w:w="705"/>
        <w:gridCol w:w="840"/>
        <w:gridCol w:w="601"/>
        <w:gridCol w:w="568"/>
        <w:gridCol w:w="1846"/>
        <w:gridCol w:w="91"/>
        <w:gridCol w:w="1049"/>
        <w:gridCol w:w="855"/>
        <w:gridCol w:w="30"/>
        <w:gridCol w:w="765"/>
        <w:gridCol w:w="45"/>
        <w:gridCol w:w="644"/>
        <w:gridCol w:w="75"/>
        <w:gridCol w:w="16"/>
        <w:gridCol w:w="690"/>
        <w:gridCol w:w="1800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517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 Дальнереченском муниципальном районе на 2020 - 2024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0390000000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Итого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в.т.ч.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136,87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81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7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«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  <w:shd w:fill="auto" w:val="clear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/>
                <w:sz w:val="20"/>
                <w:szCs w:val="20"/>
                <w:shd w:fill="auto" w:val="clear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2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left="0" w:hanging="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Популяризация продукции местных прои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зводителей; содействие в участии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юридических лиц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е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подсобны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е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 хозяйства) в выставках, ярмарках и иных реализ</w:t>
            </w:r>
            <w:r>
              <w:rPr>
                <w:sz w:val="20"/>
                <w:szCs w:val="20"/>
                <w:shd w:fill="auto" w:val="clear"/>
              </w:rPr>
              <w:t>уемых проектах на территории Приморского края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123462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112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3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т.ч.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9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99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f47ba6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f47ba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paragraph" w:styleId="Style17" w:customStyle="1">
    <w:name w:val="Заголовок"/>
    <w:next w:val="Style18"/>
    <w:qFormat/>
    <w:rsid w:val="00f47ba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b94bb5"/>
    <w:pPr/>
    <w:rPr>
      <w:rFonts w:cs="Lucida Sans"/>
    </w:rPr>
  </w:style>
  <w:style w:type="paragraph" w:styleId="Style20" w:customStyle="1">
    <w:name w:val="Caption"/>
    <w:basedOn w:val="Normal"/>
    <w:qFormat/>
    <w:rsid w:val="00b94bb5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b94bb5"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b94bb5"/>
    <w:pPr/>
    <w:rPr/>
  </w:style>
  <w:style w:type="paragraph" w:styleId="Style24" w:customStyle="1">
    <w:name w:val="Header"/>
    <w:basedOn w:val="Normal"/>
    <w:rsid w:val="00f47b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f47b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b94bb5"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LibreOffice/7.1.3.2$Windows_X86_64 LibreOffice_project/47f78053abe362b9384784d31a6e56f8511eb1c1</Application>
  <AppVersion>15.0000</AppVersion>
  <Pages>6</Pages>
  <Words>1628</Words>
  <Characters>11575</Characters>
  <CharactersWithSpaces>13119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2021-01-20T07:37:00Z</dcterms:created>
  <dc:creator>Ekonom</dc:creator>
  <dc:description/>
  <dc:language>ru-RU</dc:language>
  <cp:lastModifiedBy/>
  <cp:lastPrinted>2021-08-17T11:32:51Z</cp:lastPrinted>
  <dcterms:modified xsi:type="dcterms:W3CDTF">2021-08-17T11:49:54Z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