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/>
        <w:drawing>
          <wp:inline distT="0" distB="0" distL="0" distR="0">
            <wp:extent cx="533400" cy="6762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ind w:left="-900" w:right="-158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ДАЛЬНЕРЕЧЕНСКОГО МУНИЦИПАЛЬНОГО РАЙОНА</w:t>
      </w:r>
    </w:p>
    <w:p>
      <w:pPr>
        <w:pStyle w:val="Normal"/>
        <w:ind w:hanging="180"/>
        <w:jc w:val="center"/>
        <w:rPr/>
      </w:pPr>
      <w:r>
        <w:rPr/>
      </w:r>
    </w:p>
    <w:p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ПРОЕКТ </w:t>
      </w:r>
      <w:r>
        <w:rPr>
          <w:rFonts w:ascii="Times New Roman" w:hAnsi="Times New Roman"/>
          <w:sz w:val="24"/>
          <w:szCs w:val="24"/>
        </w:rPr>
        <w:t>ПОСТАНОВЛЕНИ</w:t>
      </w:r>
      <w:r>
        <w:rPr>
          <w:rFonts w:eastAsia="Times New Roman" w:cs="Arial" w:ascii="Times New Roman" w:hAnsi="Times New Roman"/>
          <w:b/>
          <w:bCs/>
          <w:kern w:val="2"/>
          <w:sz w:val="24"/>
          <w:szCs w:val="24"/>
          <w:lang w:eastAsia="ru-RU"/>
        </w:rPr>
        <w:t>Я</w:t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09"/>
          <w:tab w:val="center" w:pos="4960" w:leader="none"/>
          <w:tab w:val="left" w:pos="7360" w:leader="none"/>
          <w:tab w:val="left" w:pos="11057" w:leader="none"/>
        </w:tabs>
        <w:jc w:val="center"/>
        <w:rPr>
          <w:b/>
          <w:b/>
          <w:bCs/>
          <w:sz w:val="20"/>
        </w:rPr>
      </w:pPr>
      <w:r>
        <w:rPr>
          <w:b/>
          <w:bCs/>
          <w:sz w:val="20"/>
        </w:rPr>
        <w:t xml:space="preserve">                                 </w:t>
      </w:r>
      <w:r>
        <w:rPr>
          <w:b/>
          <w:bCs/>
          <w:sz w:val="20"/>
        </w:rPr>
        <w:t>г.                                           г. Дальнереченск</w:t>
      </w:r>
      <w:r>
        <w:rPr/>
        <w:t xml:space="preserve">                                                     </w:t>
      </w:r>
      <w:r>
        <w:rPr>
          <w:b/>
          <w:sz w:val="20"/>
          <w:szCs w:val="20"/>
        </w:rPr>
        <w:t>№ -па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8"/>
          <w:szCs w:val="28"/>
        </w:rPr>
        <w:t>О внесении изменения в постановление администрации Дальнереченского муниципального от 26декабря 2011года №725-па</w:t>
      </w:r>
      <w:r>
        <w:rPr>
          <w:b/>
          <w:sz w:val="26"/>
          <w:szCs w:val="26"/>
        </w:rPr>
        <w:t xml:space="preserve">          «О Порядке определения объема и условия предоставления субсидий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из бюджета Дальнереченского муниципального района муниципальным   бюджетным и автономным учреждениям  на возмещение нормативных затрат, связанных с оказанием ими в соответствии с муниципальным заданием муниципальных услуг (выполнением работ) и  Порядке определения объема и условия предоставления субсидий из бюджета Дальнереченского муниципального района муниципальным   бюджетным и (или) автономным учреждениям  на иные цели .</w:t>
      </w:r>
    </w:p>
    <w:p>
      <w:pPr>
        <w:pStyle w:val="Normal"/>
        <w:ind w:left="1418" w:right="851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7"/>
        <w:ind w:left="1418" w:right="851" w:firstLine="709"/>
        <w:jc w:val="both"/>
        <w:rPr/>
      </w:pPr>
      <w:r>
        <w:rPr/>
      </w:r>
    </w:p>
    <w:p>
      <w:pPr>
        <w:pStyle w:val="Normal"/>
        <w:ind w:left="1418" w:right="851" w:firstLine="709"/>
        <w:jc w:val="both"/>
        <w:rPr/>
      </w:pPr>
      <w:r>
        <w:rPr/>
      </w:r>
    </w:p>
    <w:p>
      <w:pPr>
        <w:pStyle w:val="Style17"/>
        <w:ind w:right="-1" w:firstLine="851"/>
        <w:jc w:val="both"/>
        <w:rPr>
          <w:bCs/>
          <w:szCs w:val="28"/>
        </w:rPr>
      </w:pPr>
      <w:r>
        <w:rPr>
          <w:bCs/>
          <w:szCs w:val="28"/>
        </w:rPr>
        <w:t xml:space="preserve">Руководствуясь Уставом Дальнереченского муниципального района, администрация Дальнереченского муниципального района </w:t>
      </w:r>
    </w:p>
    <w:p>
      <w:pPr>
        <w:pStyle w:val="Style17"/>
        <w:ind w:right="851" w:firstLine="851"/>
        <w:jc w:val="both"/>
        <w:rPr>
          <w:bCs/>
          <w:szCs w:val="28"/>
        </w:rPr>
      </w:pPr>
      <w:r>
        <w:rPr>
          <w:bCs/>
          <w:szCs w:val="28"/>
        </w:rPr>
      </w:r>
    </w:p>
    <w:p>
      <w:pPr>
        <w:pStyle w:val="Style17"/>
        <w:ind w:right="851" w:firstLine="142"/>
        <w:jc w:val="both"/>
        <w:rPr>
          <w:bCs/>
          <w:szCs w:val="28"/>
        </w:rPr>
      </w:pPr>
      <w:r>
        <w:rPr>
          <w:bCs/>
          <w:szCs w:val="28"/>
        </w:rPr>
        <w:t>ПОСТАНОВЛЯЕТ:</w:t>
      </w:r>
    </w:p>
    <w:p>
      <w:pPr>
        <w:pStyle w:val="Style17"/>
        <w:ind w:left="1418" w:right="851" w:firstLine="709"/>
        <w:jc w:val="both"/>
        <w:rPr>
          <w:bCs/>
          <w:szCs w:val="28"/>
        </w:rPr>
      </w:pPr>
      <w:r>
        <w:rPr>
          <w:bCs/>
          <w:szCs w:val="28"/>
        </w:rPr>
      </w:r>
    </w:p>
    <w:p>
      <w:pPr>
        <w:pStyle w:val="Style17"/>
        <w:tabs>
          <w:tab w:val="clear" w:pos="709"/>
          <w:tab w:val="left" w:pos="11057" w:leader="none"/>
        </w:tabs>
        <w:ind w:right="-1" w:firstLine="851"/>
        <w:jc w:val="both"/>
        <w:rPr>
          <w:bCs/>
          <w:szCs w:val="28"/>
        </w:rPr>
      </w:pPr>
      <w:r>
        <w:rPr>
          <w:bCs/>
          <w:szCs w:val="28"/>
        </w:rPr>
        <w:t>1.  Утвердить Порядок определения объема и условия предоставления субсидий из бюджета Дальнереченского муниципального района муниципальным бюджетным учреждениям на иные цели, утвержденный постановлением администрации Дальнереченского муниципального района от 26.12.2011г №725-па  (далее -Порядок) в новой редакции (приложение  к настоящему постановлению).</w:t>
      </w:r>
    </w:p>
    <w:p>
      <w:pPr>
        <w:pStyle w:val="Style17"/>
        <w:ind w:right="-1" w:firstLine="851"/>
        <w:jc w:val="both"/>
        <w:rPr>
          <w:bCs/>
          <w:szCs w:val="28"/>
        </w:rPr>
      </w:pPr>
      <w:r>
        <w:rPr>
          <w:bCs/>
          <w:szCs w:val="28"/>
        </w:rPr>
        <w:t xml:space="preserve">2. Контроль за исполнением постановления возложить на заместителя главы администрации Дальнереченского муниципального района А.Г. Попова. </w:t>
      </w:r>
    </w:p>
    <w:p>
      <w:pPr>
        <w:pStyle w:val="Style17"/>
        <w:ind w:right="-1" w:firstLine="851"/>
        <w:jc w:val="both"/>
        <w:rPr>
          <w:bCs/>
          <w:szCs w:val="28"/>
        </w:rPr>
      </w:pPr>
      <w:r>
        <w:rPr>
          <w:bCs/>
          <w:szCs w:val="28"/>
        </w:rPr>
        <w:t>3.Настоящее постановление вступает в силу со дня его обнародования и распространяет свое действие на правоотношения, возникшие с 01.01.2016 года.</w:t>
      </w:r>
    </w:p>
    <w:p>
      <w:pPr>
        <w:pStyle w:val="Style17"/>
        <w:ind w:right="-1" w:firstLine="851"/>
        <w:jc w:val="both"/>
        <w:rPr>
          <w:bCs/>
          <w:szCs w:val="28"/>
        </w:rPr>
      </w:pPr>
      <w:r>
        <w:rPr>
          <w:bCs/>
          <w:szCs w:val="28"/>
        </w:rPr>
      </w:r>
    </w:p>
    <w:p>
      <w:pPr>
        <w:pStyle w:val="Style17"/>
        <w:ind w:right="-1" w:firstLine="851"/>
        <w:jc w:val="both"/>
        <w:rPr>
          <w:bCs/>
          <w:szCs w:val="28"/>
        </w:rPr>
      </w:pPr>
      <w:r>
        <w:rPr>
          <w:bCs/>
          <w:szCs w:val="28"/>
        </w:rPr>
      </w:r>
    </w:p>
    <w:p>
      <w:pPr>
        <w:pStyle w:val="Style17"/>
        <w:ind w:right="-1" w:hanging="0"/>
        <w:jc w:val="both"/>
        <w:rPr>
          <w:bCs/>
          <w:szCs w:val="28"/>
        </w:rPr>
      </w:pPr>
      <w:r>
        <w:rPr>
          <w:bCs/>
          <w:szCs w:val="28"/>
        </w:rPr>
        <w:t xml:space="preserve">И.о. главы администрации </w:t>
      </w:r>
    </w:p>
    <w:p>
      <w:pPr>
        <w:pStyle w:val="Style17"/>
        <w:ind w:right="-1" w:hanging="0"/>
        <w:jc w:val="both"/>
        <w:rPr>
          <w:bCs/>
          <w:szCs w:val="28"/>
        </w:rPr>
      </w:pPr>
      <w:r>
        <w:rPr>
          <w:bCs/>
          <w:szCs w:val="28"/>
        </w:rPr>
        <w:t>Дальнереченского муниципального района                               В.С. Дернов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Утверждено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постановлением администрации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Дальнереченского муниципального района 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             г. №    -па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определения объема и условия предоставления субсидий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из бюджета Дальнереченского муниципального района муниципальным   бюджетным учреждениям  на иные цели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>
      <w:pPr>
        <w:pStyle w:val="Normal"/>
        <w:ind w:left="-284" w:firstLine="709"/>
        <w:jc w:val="both"/>
        <w:rPr>
          <w:sz w:val="28"/>
          <w:szCs w:val="28"/>
        </w:rPr>
      </w:pPr>
      <w:r>
        <w:rPr>
          <w:sz w:val="26"/>
          <w:szCs w:val="26"/>
        </w:rPr>
        <w:br/>
        <w:t xml:space="preserve">               1</w:t>
      </w:r>
      <w:r>
        <w:rPr>
          <w:sz w:val="28"/>
          <w:szCs w:val="28"/>
        </w:rPr>
        <w:t>. Настоящий Порядок разработан в соответствии с абзацем третьим пункта 1 статьи  78.1 Бюджетного кодекса Российской Федерации и устанавливает правила определения объема и условия предоставления субсидий из бюджета Дальнереченского муниципального района (далее-районный бюджет)  муниципальным бюджетным и (или) автономным  учреждениям Дальнереченского муниципального района (далее - учреждения) на цели, не связанные с возмещением нормативных затрат на оказание в соответствии с муниципальным заданием муниципальных услуг (выполнение работ) (далее  по тексту – субсидии на иные цели).</w:t>
      </w:r>
    </w:p>
    <w:p>
      <w:pPr>
        <w:pStyle w:val="Normal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Иными целями в рамках настоящего Порядка являются:</w:t>
      </w:r>
    </w:p>
    <w:p>
      <w:pPr>
        <w:pStyle w:val="Normal"/>
        <w:ind w:left="57" w:firstLine="652"/>
        <w:jc w:val="both"/>
        <w:rPr>
          <w:sz w:val="28"/>
          <w:szCs w:val="28"/>
        </w:rPr>
      </w:pPr>
      <w:r>
        <w:rPr>
          <w:sz w:val="28"/>
          <w:szCs w:val="28"/>
        </w:rPr>
        <w:t>-   Расходы, направленные на создание условий для свободного доступа инвалидов к зданиям образовательных учреждений;</w:t>
      </w:r>
    </w:p>
    <w:p>
      <w:pPr>
        <w:pStyle w:val="Normal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Расходы, связанные с проведением  капитального ремонта;</w:t>
      </w:r>
    </w:p>
    <w:p>
      <w:pPr>
        <w:pStyle w:val="Normal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Расходы на приобретение муниципальными учреждениями имущества;</w:t>
      </w:r>
    </w:p>
    <w:p>
      <w:pPr>
        <w:pStyle w:val="Normal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Расходы на проведение мероприятий  по энергосбережению;</w:t>
      </w:r>
    </w:p>
    <w:p>
      <w:pPr>
        <w:pStyle w:val="Normal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Расходы учреждений, связанные с проведением противопожарных мероприятий;</w:t>
      </w:r>
    </w:p>
    <w:p>
      <w:pPr>
        <w:pStyle w:val="Normal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Расходы, связанные с организацией и проведением государственной аттестации выпускников  общеобразовательных организаций;</w:t>
      </w:r>
    </w:p>
    <w:p>
      <w:pPr>
        <w:pStyle w:val="Normal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Проведение мероприятий среди одаренной молодежи;</w:t>
      </w:r>
    </w:p>
    <w:p>
      <w:pPr>
        <w:pStyle w:val="Normal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Расходы, связанные с организацией  занятости учащихся во внеучебное время;</w:t>
      </w:r>
    </w:p>
    <w:p>
      <w:pPr>
        <w:pStyle w:val="Normal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Расходы на мероприятия по программно-техническому обслуживанию сети доступа к сети "Интернет" муниципальных общеобразовательных учреждений, включая оплату трафика;</w:t>
      </w:r>
    </w:p>
    <w:p>
      <w:pPr>
        <w:pStyle w:val="Normal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Расходы учреждений, направленные на предупреждение террористических актов;</w:t>
      </w:r>
    </w:p>
    <w:p>
      <w:pPr>
        <w:pStyle w:val="Normal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Расходы на оплату труда работников муниципальных бюджетных и автономных общеобразовательных учреждений, расходов на учебники, учебные пособия, технические средства обучения, расходные материалы и хозяйственные нужды  бюджетных и автономных образовательных учреждений осуществляемые за счет субвенций из краевого бюджета, при условии, что данные расходы не включены в нормативные затраты, связанные с выполнением муниципального задания;</w:t>
      </w:r>
    </w:p>
    <w:p>
      <w:pPr>
        <w:pStyle w:val="Normal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Расходы на обеспечение бесплатным питанием детей, обучающихся в младших классах (1 - 4 включительно) в муниципальных бюджетных и автономных общеобразовательных учреждениях;</w:t>
      </w:r>
    </w:p>
    <w:p>
      <w:pPr>
        <w:pStyle w:val="Normal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Расходы на организацию и обеспечение оздоровления и отдыха детей Приморского края (за исключением  отдыха детей в каникулярное время);</w:t>
      </w:r>
    </w:p>
    <w:p>
      <w:pPr>
        <w:pStyle w:val="Normal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Расходы по гашению кредиторской задолженности;</w:t>
      </w:r>
    </w:p>
    <w:p>
      <w:pPr>
        <w:pStyle w:val="Normal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иные расходы, не относящиеся к публичным обязательствам перед физическим лицом, подлежащим исполнению в денежной форме, к бюджетным инвестициям и не включаемые в субсидии на возмещение нормативных затрат на оказание муниципальных услуг (выполнение работ) в соответствии с муниципальным заданием.</w:t>
      </w:r>
    </w:p>
    <w:p>
      <w:pPr>
        <w:pStyle w:val="Formattext"/>
        <w:spacing w:before="280" w:after="28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Предоставление субсидий учреждению из районного бюджета и расчет объема субсидий на иные цели определяется администрацией Дальнереченского муниципального района, исполняющей функции учредителя учреждений  (далее- Учредитель).</w:t>
      </w:r>
    </w:p>
    <w:p>
      <w:pPr>
        <w:pStyle w:val="Formattext"/>
        <w:tabs>
          <w:tab w:val="left" w:pos="709" w:leader="none"/>
        </w:tabs>
        <w:spacing w:before="280" w:after="28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 В отношении образовательных учреждений Дальнереченского муниципального района  функции Учредителя исполняет муниципальное казенное учреждение «Управление народного образования» Дальнереченского муниципального района Приморского края(далее – Управление) на которое Учредителем возложено исполнение полномочий осуществления финансового обеспечения выполнения муниципального задания учреждений и предоставления субсидий на иные цели учреждениям в соответствии с бюджетом Дальнереченского муниципального района  (далее- районный бюджет). </w:t>
      </w:r>
    </w:p>
    <w:p>
      <w:pPr>
        <w:pStyle w:val="Formattext"/>
        <w:spacing w:before="280" w:after="28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 Объем субсидий на иные цели определяется  на основании финансово-экономического обоснования расходов.</w:t>
      </w:r>
    </w:p>
    <w:p>
      <w:pPr>
        <w:pStyle w:val="Formattext"/>
        <w:spacing w:before="280" w:after="28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 Финансово-экономическое обоснование должно содержать калькуляцию статей планируемых расходов, подтверждаемую имеющимися в распоряжении сметами, прайс-листами (коммерческими предложениями) поставщиков, расчетами нормативных затрат или нормативными правовыми актами, устанавливающими порядок определения или размер обязательств, подлежащих исполнению учреждениями за счет субсидий на иные цели.</w:t>
      </w:r>
    </w:p>
    <w:p>
      <w:pPr>
        <w:pStyle w:val="Formattext"/>
        <w:spacing w:before="280" w:after="28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  <w:lang w:val="en-US"/>
        </w:rPr>
        <w:t>  </w:t>
      </w:r>
      <w:r>
        <w:rPr>
          <w:sz w:val="28"/>
          <w:szCs w:val="28"/>
        </w:rPr>
        <w:t>Заявка о включении в районный бюджет на очередной финансовый год субсидии на иные цели представляется Учредителем в Управление финансов администрации Дальнереченского муниципального района в сроки, установленные для составления проекта районного бюджета на очередной финансовый год и плановый период. К заявке прилагается финансово-экономическое обоснование расходов.</w:t>
      </w:r>
    </w:p>
    <w:p>
      <w:pPr>
        <w:pStyle w:val="Formattext"/>
        <w:spacing w:before="280" w:after="28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  <w:lang w:val="en-US"/>
        </w:rPr>
        <w:t>  </w:t>
      </w:r>
      <w:r>
        <w:rPr>
          <w:sz w:val="28"/>
          <w:szCs w:val="28"/>
        </w:rPr>
        <w:t>В случае возникновения в течение финансового года у учреждения обоснованной потребности в произведении расходов на цели, указанных в настоящем Порядке, Учредитель направляет на имя главы администрации ходатайство о включении в районный бюджет на текущий финансовый год субсидий на иные цели.</w:t>
      </w:r>
    </w:p>
    <w:p>
      <w:pPr>
        <w:pStyle w:val="Formattext"/>
        <w:spacing w:before="280" w:after="28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Субсидии на иные цели предоставляются в пределах бюджетных ассигнований, предусмотренных на указанные цели в решении о районном бюджете на соответствующий финансовый год и плановый период.</w:t>
      </w:r>
    </w:p>
    <w:p>
      <w:pPr>
        <w:pStyle w:val="Normal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  <w:lang w:val="en-US"/>
        </w:rPr>
        <w:t>  </w:t>
      </w:r>
      <w:r>
        <w:rPr>
          <w:sz w:val="28"/>
          <w:szCs w:val="28"/>
        </w:rPr>
        <w:t>Субсидии предоставляются в соответствии с соглашением, заключенным между Учредителем и учреждением по форме согласно приложению 1 к настоящему Порядку. Учредитель вправе уточнять и дополнять установленную форму соглашения.</w:t>
      </w:r>
    </w:p>
    <w:p>
      <w:pPr>
        <w:pStyle w:val="Normal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  <w:lang w:val="en-US"/>
        </w:rPr>
        <w:t>  </w:t>
      </w:r>
      <w:r>
        <w:rPr>
          <w:sz w:val="28"/>
          <w:szCs w:val="28"/>
        </w:rPr>
        <w:t xml:space="preserve">Соглашение о порядке и условиях предоставления субсидии должно быть заключено не позднее 1 месяца после утверждения районного бюджета на очередной год и плановый период. Соглашение заключается на один финансовый год. К соглашению прилагаются финансово- экономическое обоснование. </w:t>
      </w:r>
    </w:p>
    <w:p>
      <w:pPr>
        <w:pStyle w:val="Normal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  <w:lang w:val="en-US"/>
        </w:rPr>
        <w:t>  </w:t>
      </w:r>
      <w:r>
        <w:rPr>
          <w:sz w:val="28"/>
          <w:szCs w:val="28"/>
        </w:rPr>
        <w:t xml:space="preserve">Учредитель вправе вносить изменения в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оглашение по представлению учреждения  путем заключения дополнительных соглашений в пределах ассигнований, предусмотренных в районном бюджете.</w:t>
      </w:r>
    </w:p>
    <w:p>
      <w:pPr>
        <w:pStyle w:val="Normal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  <w:lang w:val="en-US"/>
        </w:rPr>
        <w:t>  </w:t>
      </w:r>
      <w:r>
        <w:rPr>
          <w:sz w:val="28"/>
          <w:szCs w:val="28"/>
        </w:rPr>
        <w:t>В случае выявления в течение финансового года дополнительной потребности в финансировании иных целей, указанных в пункте 2 настоящего Порядка, учреждение вправе обращаться к учредителю с предложением об изменении объема предоставляемой субсидии, в целях чего, учреждение, в произвольной форме пишет заявление на имя главы администрации Дальнереченского муниципального района с приложением расчетов и обоснований и передает для согласования Учредителю (образовательные учреждения в Управление, остальные учреждения в МКУ «Централизованная бухгалтерия администрации Дальнереченского муниципального района.</w:t>
      </w:r>
    </w:p>
    <w:p>
      <w:pPr>
        <w:pStyle w:val="Normal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Управления и  МКУ «Централизованная бухгалтерия администрации Дальнереченского муниципального района проверяют расчеты, подготавливают представление на имя главы администрации Дальнереченского муниципального района о выделении дополнительной суммы субсидии учреждению.</w:t>
      </w:r>
    </w:p>
    <w:p>
      <w:pPr>
        <w:pStyle w:val="Normal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 Проект соглашения, а также проекты дополнительных соглашений между Учредителем и учреждением (с представлением соответствующих подтверждающих расчетов) до подписания Учредителем, подлежат согласованию с Управлением финансов администрации Дальнереченского муниципального района (далее-финансовый орган).</w:t>
      </w:r>
    </w:p>
    <w:p>
      <w:pPr>
        <w:pStyle w:val="Normal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 Учредитель вправе изменять размер предоставляемой субсидии в случае:</w:t>
      </w:r>
    </w:p>
    <w:p>
      <w:pPr>
        <w:pStyle w:val="Normal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или уменьшения объема ассигнований, предусмотренных в районном бюджете на эти цели;</w:t>
      </w:r>
    </w:p>
    <w:p>
      <w:pPr>
        <w:pStyle w:val="Normal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выявления дополнительной потребности учреждения в финансировании иных целей при наличии соответствующих ассигнований в бюджете;</w:t>
      </w:r>
    </w:p>
    <w:p>
      <w:pPr>
        <w:pStyle w:val="Normal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выявления необходимости перераспределения объемов субсидии между учреждениями или выявления невозможности учреждением осуществления расходов на предусмотренные цели в полном объеме.</w:t>
      </w:r>
    </w:p>
    <w:p>
      <w:pPr>
        <w:pStyle w:val="Normal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  Перечисление субсидии производится в соответствии с кассовым планом исполнения районного бюджета.</w:t>
      </w:r>
    </w:p>
    <w:p>
      <w:pPr>
        <w:pStyle w:val="Normal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17.  Учреждение представляет  Учредителю ( в части образовательных учреждений в Управление, в части остальных учреждений в МКУ «Централизованная бухгалтерия администрации Дальнереченского муниципального района»)  отчет об использовании  субсидии по форме согласно приложению 2 к Порядку. Порядок и периодичность представления отчета об использовании субсидии устанавливается Учредителем в Соглашении.</w:t>
      </w:r>
    </w:p>
    <w:p>
      <w:pPr>
        <w:pStyle w:val="Normal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18.  Неиспользованные остатки средств субсидий при отсутствии потребности в направлении их на те же цели, подлежат возврату учреждениями в районный бюджет в порядке, установленном финансовым органом.</w:t>
      </w:r>
    </w:p>
    <w:p>
      <w:pPr>
        <w:pStyle w:val="Normal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Открытие и ведение лицевых счетов для учета операций со средствами субсидии, санкционирование операций по указанным средствам учреждением осуществляется в порядке, установленном финансовым органом.</w:t>
      </w:r>
    </w:p>
    <w:p>
      <w:pPr>
        <w:pStyle w:val="Normal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При предоставлении целевой субсидии учреждение составляет и представляет Управлению сведения об операциях с целевыми субсидиями, предоставленными учреждению.</w:t>
      </w:r>
    </w:p>
    <w:p>
      <w:pPr>
        <w:pStyle w:val="Normal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21.  Учреждение несет ответственность за нецелевое использование средств субсидий.</w:t>
      </w:r>
    </w:p>
    <w:p>
      <w:pPr>
        <w:pStyle w:val="Normal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22.  В случае   выявления   нецелевого   использования   субсидий учреждением,   суммы субсидий, использованных не по целевому назначению, подлежат возврату в районный бюджет в течение 10 календарных дней с момента предъявления требования об их возврате.</w:t>
      </w:r>
    </w:p>
    <w:p>
      <w:pPr>
        <w:pStyle w:val="Normal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Контроль   за   соблюдением   условий,   установленных   при предоставлении   субсидий     муниципальному   бюджетному   и (или)  автономному учреждению, осуществляется в отношении образовательных учреждений  Управлением, в отношении остальных учреждений  МКУ «Централизованная бухгалтерия администрации Дальнереченского муниципального района».</w:t>
      </w:r>
    </w:p>
    <w:p>
      <w:pPr>
        <w:pStyle w:val="Normal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________________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</w:r>
    </w:p>
    <w:p>
      <w:pPr>
        <w:pStyle w:val="Normal"/>
        <w:shd w:val="clear" w:color="auto" w:fill="FFFFFF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</w:r>
    </w:p>
    <w:tbl>
      <w:tblPr>
        <w:tblW w:w="4642" w:type="dxa"/>
        <w:jc w:val="left"/>
        <w:tblInd w:w="4928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firstRow="1" w:lastRow="1" w:firstColumn="1" w:lastColumn="1"/>
      </w:tblPr>
      <w:tblGrid>
        <w:gridCol w:w="4642"/>
      </w:tblGrid>
      <w:tr>
        <w:trPr/>
        <w:tc>
          <w:tcPr>
            <w:tcW w:w="4642" w:type="dxa"/>
            <w:tcBorders/>
          </w:tcPr>
          <w:p>
            <w:pPr>
              <w:pStyle w:val="Normal"/>
              <w:shd w:val="clear" w:color="auto" w:fill="FFFFFF"/>
              <w:jc w:val="right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</w:r>
          </w:p>
          <w:p>
            <w:pPr>
              <w:pStyle w:val="Normal"/>
              <w:shd w:val="clear" w:color="auto" w:fill="FFFFFF"/>
              <w:jc w:val="right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</w:r>
          </w:p>
          <w:p>
            <w:pPr>
              <w:pStyle w:val="Normal"/>
              <w:shd w:val="clear" w:color="auto" w:fill="FFFFFF"/>
              <w:jc w:val="right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</w:r>
          </w:p>
          <w:p>
            <w:pPr>
              <w:pStyle w:val="Normal"/>
              <w:shd w:val="clear" w:color="auto" w:fill="FFFFFF"/>
              <w:jc w:val="right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Приложение 1</w:t>
            </w:r>
          </w:p>
          <w:p>
            <w:pPr>
              <w:pStyle w:val="1"/>
              <w:spacing w:before="240" w:after="60"/>
              <w:jc w:val="both"/>
              <w:rPr>
                <w:rFonts w:ascii="Times New Roman" w:hAnsi="Times New Roman" w:cs="Times New Roman"/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pacing w:val="-4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spacing w:val="-1"/>
                <w:sz w:val="26"/>
                <w:szCs w:val="26"/>
              </w:rPr>
              <w:t xml:space="preserve">к Порядку </w:t>
            </w:r>
            <w:r>
              <w:rPr>
                <w:rFonts w:cs="Times New Roman" w:ascii="Times New Roman" w:hAnsi="Times New Roman"/>
                <w:b w:val="false"/>
                <w:sz w:val="26"/>
                <w:szCs w:val="26"/>
              </w:rPr>
              <w:t xml:space="preserve">определения объема и условия предоставления субсидий из бюджета Дальнереченского муниципального района муниципальным   бюджетным учреждениям  на иные цели утвержденному постановлением  администрации Дальнереченского муниципального района № -па от        г. </w:t>
            </w:r>
          </w:p>
        </w:tc>
      </w:tr>
    </w:tbl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Примерная форма соглашения</w:t>
      </w:r>
    </w:p>
    <w:p>
      <w:pPr>
        <w:pStyle w:val="Normal"/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о порядке и условиях предоставления субсидии на иные цели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город (село) ______________                                          «____» ____________ 20__ г.</w:t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УЧРЕДИТЕЛЬ__________________________________________________________________________________________________________________________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(администрация Дальнереченского муниципального района, осуществляющая функции и полномочия учредителя,  в ведении которого находится муниципальное учреждение)</w:t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лице 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(Ф.И.О. руководителя)</w:t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действующего на основании 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</w:t>
      </w:r>
      <w:r>
        <w:rPr>
          <w:rFonts w:cs="Times New Roman" w:ascii="Times New Roman" w:hAnsi="Times New Roman"/>
          <w:sz w:val="26"/>
          <w:szCs w:val="26"/>
        </w:rPr>
        <w:t>(наименование, дата, номер нормативного правового акта или доверенности)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УПРАВЛЕНИЕ_________________________________________________________________________________________________________________________</w:t>
      </w:r>
    </w:p>
    <w:p>
      <w:pPr>
        <w:pStyle w:val="Normal"/>
        <w:ind w:left="-170" w:firstLine="709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>
        <w:rPr>
          <w:sz w:val="28"/>
          <w:szCs w:val="28"/>
        </w:rPr>
        <w:t>муниципальное казенное учреждение «Управление народного образования» Дальнереченского муниципального района Приморского края</w:t>
      </w:r>
      <w:r>
        <w:rPr>
          <w:sz w:val="26"/>
          <w:szCs w:val="26"/>
        </w:rPr>
        <w:t xml:space="preserve">, на которое Учредителем  возложено исполнение полномочий осуществления финансового обеспечения предоставления субсидий на иные цели образовательному учреждению) </w:t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лице 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(Ф.И.О. руководителя)</w:t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действующего на основании ______________________________________________,</w:t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(наименование, дата, номер нормативного правового акта или доверенности)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 одной  стороны, и муниципальное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бюджетное (автономное)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учреждение _______________________________________________________________________ (наименование муниципального бюджетного (автономного) учреждения)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(далее - УЧРЕЖДЕНИЕ) в лице руководителя __________________________________________, </w:t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(Ф.И.О. руководителя учреждения)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действующего на основании ______________________________________________________,</w:t>
      </w:r>
    </w:p>
    <w:p>
      <w:pPr>
        <w:pStyle w:val="ConsPlusNonformat"/>
        <w:ind w:left="2880"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(наименование, дата, номер правового акта)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 другой стороны, вместе именуемые Сторонами, заключили настоящее Соглашение о нижеследующем:</w:t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1. Предмет Соглашения</w:t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Предметом настоящего Соглашения является определение порядка и условий предоставления Учредителем Учреждению  субсидии из районного бюджета на </w:t>
      </w:r>
    </w:p>
    <w:p>
      <w:pPr>
        <w:pStyle w:val="Normal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_____________________________________________________________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(далее соответственно – субсидия на иные цели).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2. Права и обязанности Сторон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2.1. Учредитель обязуется:</w:t>
      </w:r>
    </w:p>
    <w:p>
      <w:pPr>
        <w:pStyle w:val="Normal"/>
        <w:shd w:val="clear" w:color="auto" w:fill="FFFFFF"/>
        <w:tabs>
          <w:tab w:val="clear" w:pos="709"/>
          <w:tab w:val="left" w:pos="3552" w:leader="underscore"/>
          <w:tab w:val="left" w:pos="7915" w:leader="underscore"/>
        </w:tabs>
        <w:rPr>
          <w:sz w:val="26"/>
          <w:szCs w:val="26"/>
        </w:rPr>
      </w:pPr>
      <w:r>
        <w:rPr>
          <w:spacing w:val="-1"/>
          <w:sz w:val="26"/>
          <w:szCs w:val="26"/>
        </w:rPr>
        <w:t>2.1.1. Предоставлять в _______ го</w:t>
      </w:r>
      <w:r>
        <w:rPr>
          <w:spacing w:val="-2"/>
          <w:sz w:val="26"/>
          <w:szCs w:val="26"/>
        </w:rPr>
        <w:t>ду Учреждению</w:t>
      </w:r>
      <w:r>
        <w:rPr>
          <w:sz w:val="26"/>
          <w:szCs w:val="26"/>
        </w:rPr>
        <w:tab/>
      </w:r>
      <w:r>
        <w:rPr>
          <w:spacing w:val="-8"/>
          <w:sz w:val="26"/>
          <w:szCs w:val="26"/>
        </w:rPr>
        <w:t>_____________</w:t>
      </w:r>
    </w:p>
    <w:p>
      <w:pPr>
        <w:pStyle w:val="Normal"/>
        <w:shd w:val="clear" w:color="auto" w:fill="FFFFFF"/>
        <w:rPr>
          <w:sz w:val="26"/>
          <w:szCs w:val="26"/>
        </w:rPr>
      </w:pPr>
      <w:r>
        <w:rPr>
          <w:i/>
          <w:iCs/>
          <w:spacing w:val="-2"/>
          <w:sz w:val="26"/>
          <w:szCs w:val="26"/>
        </w:rPr>
        <w:t xml:space="preserve">                </w:t>
      </w:r>
      <w:r>
        <w:rPr>
          <w:i/>
          <w:iCs/>
          <w:spacing w:val="-2"/>
          <w:sz w:val="26"/>
          <w:szCs w:val="26"/>
        </w:rPr>
        <w:t>(наименование Учреждения)</w:t>
      </w:r>
    </w:p>
    <w:p>
      <w:pPr>
        <w:pStyle w:val="Normal"/>
        <w:shd w:val="clear" w:color="auto" w:fill="FFFFFF"/>
        <w:tabs>
          <w:tab w:val="clear" w:pos="709"/>
          <w:tab w:val="left" w:pos="4704" w:leader="underscore"/>
        </w:tabs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субсидию в сумме </w:t>
        <w:tab/>
        <w:t xml:space="preserve">в соответствии с целевыми направлениями </w:t>
      </w:r>
      <w:r>
        <w:rPr>
          <w:spacing w:val="-1"/>
          <w:sz w:val="26"/>
          <w:szCs w:val="26"/>
        </w:rPr>
        <w:t xml:space="preserve">расходования средств субсидии, указанными в разделе 3 настоящего Соглашения. </w:t>
      </w:r>
    </w:p>
    <w:p>
      <w:pPr>
        <w:pStyle w:val="Normal"/>
        <w:shd w:val="clear" w:color="auto" w:fill="FFFFFF"/>
        <w:tabs>
          <w:tab w:val="clear" w:pos="709"/>
          <w:tab w:val="left" w:pos="4704" w:leader="underscore"/>
        </w:tabs>
        <w:rPr>
          <w:sz w:val="26"/>
          <w:szCs w:val="26"/>
        </w:rPr>
      </w:pPr>
      <w:r>
        <w:rPr>
          <w:sz w:val="26"/>
          <w:szCs w:val="26"/>
        </w:rPr>
        <w:t xml:space="preserve">2.1.2. Осуществлять финансирование субсидии в соответствии с кассовым планом исполнения районного бюджета, а также в соответствии с направлениями </w:t>
      </w:r>
      <w:r>
        <w:rPr>
          <w:spacing w:val="-1"/>
          <w:sz w:val="26"/>
          <w:szCs w:val="26"/>
        </w:rPr>
        <w:t xml:space="preserve">расходования  и   сроками   предоставления   субсидии,   указанным   в  разделе   3 </w:t>
      </w:r>
      <w:r>
        <w:rPr>
          <w:sz w:val="26"/>
          <w:szCs w:val="26"/>
        </w:rPr>
        <w:t>настоящего Соглашения.</w:t>
      </w:r>
    </w:p>
    <w:p>
      <w:pPr>
        <w:pStyle w:val="Normal"/>
        <w:shd w:val="clear" w:color="auto" w:fill="FFFFFF"/>
        <w:rPr>
          <w:sz w:val="26"/>
          <w:szCs w:val="26"/>
        </w:rPr>
      </w:pPr>
      <w:r>
        <w:rPr>
          <w:spacing w:val="-2"/>
          <w:sz w:val="26"/>
          <w:szCs w:val="26"/>
        </w:rPr>
        <w:t>2.2 Учредитель вправе:</w:t>
      </w:r>
    </w:p>
    <w:p>
      <w:pPr>
        <w:pStyle w:val="Normal"/>
        <w:shd w:val="clear" w:color="auto" w:fill="FFFFFF"/>
        <w:tabs>
          <w:tab w:val="clear" w:pos="709"/>
          <w:tab w:val="left" w:pos="1546" w:leader="none"/>
        </w:tabs>
        <w:rPr>
          <w:sz w:val="26"/>
          <w:szCs w:val="26"/>
        </w:rPr>
      </w:pPr>
      <w:r>
        <w:rPr>
          <w:spacing w:val="-5"/>
          <w:sz w:val="26"/>
          <w:szCs w:val="26"/>
        </w:rPr>
        <w:t>2.2.1.</w:t>
      </w:r>
      <w:r>
        <w:rPr>
          <w:sz w:val="26"/>
          <w:szCs w:val="26"/>
        </w:rPr>
        <w:t>Уточнять и дополнять Соглашение, в том числе сроки и объемы</w:t>
        <w:br/>
        <w:t>предоставления субсидии.</w:t>
      </w:r>
    </w:p>
    <w:p>
      <w:pPr>
        <w:pStyle w:val="Normal"/>
        <w:shd w:val="clear" w:color="auto" w:fill="FFFFFF"/>
        <w:tabs>
          <w:tab w:val="clear" w:pos="709"/>
          <w:tab w:val="left" w:pos="1613" w:leader="none"/>
        </w:tabs>
        <w:rPr>
          <w:sz w:val="26"/>
          <w:szCs w:val="26"/>
        </w:rPr>
      </w:pPr>
      <w:r>
        <w:rPr>
          <w:spacing w:val="-5"/>
          <w:sz w:val="26"/>
          <w:szCs w:val="26"/>
        </w:rPr>
        <w:t>2.2.2.</w:t>
      </w:r>
      <w:r>
        <w:rPr>
          <w:spacing w:val="-2"/>
          <w:sz w:val="26"/>
          <w:szCs w:val="26"/>
        </w:rPr>
        <w:t>Изменять   размер   предоставляемой   по   настоящему   Соглашению</w:t>
        <w:br/>
      </w:r>
      <w:r>
        <w:rPr>
          <w:sz w:val="26"/>
          <w:szCs w:val="26"/>
        </w:rPr>
        <w:t>субсидии в случае:</w:t>
      </w:r>
    </w:p>
    <w:p>
      <w:pPr>
        <w:pStyle w:val="Normal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- увеличения или уменьшения объема ассигнований, предусмотренных в районном бюджете;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09"/>
          <w:tab w:val="left" w:pos="974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выявления дополнительной потребности Учреждения в финансировании </w:t>
      </w:r>
      <w:r>
        <w:rPr>
          <w:spacing w:val="-1"/>
          <w:sz w:val="26"/>
          <w:szCs w:val="26"/>
        </w:rPr>
        <w:t>иных целей при наличии соответствующих ассигнований в бюджете;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09"/>
          <w:tab w:val="left" w:pos="974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выявления необходимости перераспределения объемов субсидии между учреждениями;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09"/>
          <w:tab w:val="left" w:pos="974" w:leader="none"/>
        </w:tabs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выявления не возможности осуществления расходов на предусмотренные </w:t>
      </w:r>
      <w:r>
        <w:rPr>
          <w:sz w:val="26"/>
          <w:szCs w:val="26"/>
        </w:rPr>
        <w:t>цели в полном объеме.</w:t>
      </w:r>
    </w:p>
    <w:p>
      <w:pPr>
        <w:pStyle w:val="Normal"/>
        <w:shd w:val="clear" w:color="auto" w:fill="FFFFFF"/>
        <w:tabs>
          <w:tab w:val="clear" w:pos="709"/>
          <w:tab w:val="left" w:pos="1277" w:leader="none"/>
        </w:tabs>
        <w:rPr>
          <w:sz w:val="26"/>
          <w:szCs w:val="26"/>
        </w:rPr>
      </w:pPr>
      <w:r>
        <w:rPr>
          <w:spacing w:val="-8"/>
          <w:sz w:val="26"/>
          <w:szCs w:val="26"/>
        </w:rPr>
        <w:t xml:space="preserve">          </w:t>
      </w:r>
      <w:r>
        <w:rPr>
          <w:spacing w:val="-8"/>
          <w:sz w:val="26"/>
          <w:szCs w:val="26"/>
        </w:rPr>
        <w:t>2.3.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>Учреждение обязуется:</w:t>
      </w:r>
    </w:p>
    <w:p>
      <w:pPr>
        <w:pStyle w:val="Normal"/>
        <w:shd w:val="clear" w:color="auto" w:fill="FFFFFF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2.3.1. Расходовать субсидию на цели, предусмотренные настоящим Соглашением, </w:t>
      </w:r>
      <w:r>
        <w:rPr>
          <w:sz w:val="26"/>
          <w:szCs w:val="26"/>
        </w:rPr>
        <w:t xml:space="preserve"> в соответствии с направлениями расходования и сроками </w:t>
      </w:r>
      <w:r>
        <w:rPr>
          <w:spacing w:val="-1"/>
          <w:sz w:val="26"/>
          <w:szCs w:val="26"/>
        </w:rPr>
        <w:t>предоставления субсидии, указанными в разделе 3 настоящего Соглашения.</w:t>
      </w:r>
    </w:p>
    <w:p>
      <w:pPr>
        <w:pStyle w:val="Normal"/>
        <w:shd w:val="clear" w:color="auto" w:fill="FFFFFF"/>
        <w:tabs>
          <w:tab w:val="clear" w:pos="709"/>
          <w:tab w:val="left" w:pos="1642" w:leader="none"/>
          <w:tab w:val="left" w:pos="9226" w:leader="none"/>
        </w:tabs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>2.3.2.</w:t>
      </w:r>
      <w:r>
        <w:rPr>
          <w:sz w:val="26"/>
          <w:szCs w:val="26"/>
        </w:rPr>
        <w:t>Представлять Учредителю отчет об использовании субсидии в</w:t>
        <w:br/>
      </w:r>
      <w:r>
        <w:rPr>
          <w:spacing w:val="-4"/>
          <w:sz w:val="26"/>
          <w:szCs w:val="26"/>
        </w:rPr>
        <w:t>следующие</w:t>
      </w:r>
      <w:r>
        <w:rPr>
          <w:sz w:val="26"/>
          <w:szCs w:val="26"/>
        </w:rPr>
        <w:tab/>
      </w:r>
      <w:r>
        <w:rPr>
          <w:spacing w:val="-8"/>
          <w:sz w:val="26"/>
          <w:szCs w:val="26"/>
        </w:rPr>
        <w:t>сроки:  до 15 числа каждого месяца.</w:t>
      </w:r>
    </w:p>
    <w:p>
      <w:pPr>
        <w:pStyle w:val="Normal"/>
        <w:shd w:val="clear" w:color="auto" w:fill="FFFFFF"/>
        <w:tabs>
          <w:tab w:val="clear" w:pos="709"/>
          <w:tab w:val="left" w:pos="1517" w:leader="none"/>
        </w:tabs>
        <w:jc w:val="both"/>
        <w:rPr>
          <w:sz w:val="26"/>
          <w:szCs w:val="26"/>
        </w:rPr>
      </w:pPr>
      <w:r>
        <w:rPr>
          <w:spacing w:val="-5"/>
          <w:sz w:val="26"/>
          <w:szCs w:val="26"/>
        </w:rPr>
        <w:t>2.3.3.</w:t>
      </w:r>
      <w:r>
        <w:rPr>
          <w:spacing w:val="-2"/>
          <w:sz w:val="26"/>
          <w:szCs w:val="26"/>
        </w:rPr>
        <w:t>По решению Учредителя возвращать субсидию или ее часть в случае,</w:t>
        <w:br/>
        <w:t>если фактически расходы на предусмотренные цели не могут быть произведены в</w:t>
        <w:br/>
      </w:r>
      <w:r>
        <w:rPr>
          <w:sz w:val="26"/>
          <w:szCs w:val="26"/>
        </w:rPr>
        <w:t>полном объеме.</w:t>
      </w:r>
    </w:p>
    <w:p>
      <w:pPr>
        <w:pStyle w:val="Normal"/>
        <w:shd w:val="clear" w:color="auto" w:fill="FFFFFF"/>
        <w:tabs>
          <w:tab w:val="clear" w:pos="709"/>
          <w:tab w:val="left" w:pos="1363" w:leader="none"/>
        </w:tabs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 xml:space="preserve">           </w:t>
      </w:r>
      <w:r>
        <w:rPr>
          <w:spacing w:val="-6"/>
          <w:sz w:val="26"/>
          <w:szCs w:val="26"/>
        </w:rPr>
        <w:t>2.4.</w:t>
      </w:r>
      <w:r>
        <w:rPr>
          <w:spacing w:val="-1"/>
          <w:sz w:val="26"/>
          <w:szCs w:val="26"/>
        </w:rPr>
        <w:t>Учреждение вправе при необходимости обращаться к Учредителю с</w:t>
        <w:br/>
      </w:r>
      <w:r>
        <w:rPr>
          <w:sz w:val="26"/>
          <w:szCs w:val="26"/>
        </w:rPr>
        <w:t>предложением о внесении изменений в Соглашение в случае выявления</w:t>
        <w:br/>
        <w:t>необходимости изменения объемов субсидии.</w:t>
      </w:r>
    </w:p>
    <w:p>
      <w:pPr>
        <w:pStyle w:val="Normal"/>
        <w:shd w:val="clear" w:color="auto" w:fill="FFFFFF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                    </w:t>
      </w:r>
      <w:r>
        <w:rPr>
          <w:spacing w:val="-1"/>
          <w:sz w:val="26"/>
          <w:szCs w:val="26"/>
        </w:rPr>
        <w:t>3. Направление расходования и сроки предоставления субсидии</w:t>
      </w:r>
    </w:p>
    <w:tbl>
      <w:tblPr>
        <w:tblW w:w="9807" w:type="dxa"/>
        <w:jc w:val="left"/>
        <w:tblInd w:w="40" w:type="dxa"/>
        <w:tblCellMar>
          <w:top w:w="0" w:type="dxa"/>
          <w:left w:w="40" w:type="dxa"/>
          <w:bottom w:w="0" w:type="dxa"/>
          <w:right w:w="40" w:type="dxa"/>
        </w:tblCellMar>
        <w:tblLook w:val="0000" w:noVBand="0" w:noHBand="0" w:lastColumn="0" w:firstColumn="0" w:lastRow="0" w:firstRow="0"/>
      </w:tblPr>
      <w:tblGrid>
        <w:gridCol w:w="653"/>
        <w:gridCol w:w="3532"/>
        <w:gridCol w:w="1637"/>
        <w:gridCol w:w="1849"/>
        <w:gridCol w:w="2136"/>
      </w:tblGrid>
      <w:tr>
        <w:trPr>
          <w:trHeight w:val="667" w:hRule="exact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 xml:space="preserve">Направление расходования </w:t>
            </w:r>
            <w:r>
              <w:rPr>
                <w:sz w:val="26"/>
                <w:szCs w:val="26"/>
              </w:rPr>
              <w:t>субсидии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расхода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Сумма, тыс. </w:t>
            </w:r>
            <w:r>
              <w:rPr>
                <w:sz w:val="26"/>
                <w:szCs w:val="26"/>
              </w:rPr>
              <w:t>руб.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Сроки </w:t>
            </w:r>
            <w:r>
              <w:rPr>
                <w:spacing w:val="-3"/>
                <w:sz w:val="26"/>
                <w:szCs w:val="26"/>
              </w:rPr>
              <w:t>предоставления</w:t>
            </w:r>
          </w:p>
        </w:tc>
      </w:tr>
      <w:tr>
        <w:trPr>
          <w:trHeight w:val="336" w:hRule="exact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>
        <w:trPr>
          <w:trHeight w:val="331" w:hRule="exact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331" w:hRule="exact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331" w:hRule="exact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331" w:hRule="exact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350" w:hRule="exact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4. Ответственность Сторон</w:t>
      </w:r>
    </w:p>
    <w:p>
      <w:pPr>
        <w:pStyle w:val="Normal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   случае   неисполнения  или   ненадлежащего   исполнения   обязательств, определенных Соглашением, Стороны несут ответственность в соответствии с действующим законодательством.</w:t>
      </w:r>
    </w:p>
    <w:p>
      <w:pPr>
        <w:pStyle w:val="Normal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>5 Срок действия Соглашения</w:t>
      </w:r>
    </w:p>
    <w:p>
      <w:pPr>
        <w:pStyle w:val="Normal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 Соглашение вступает в силу с момента подписания обеими</w:t>
      </w:r>
    </w:p>
    <w:p>
      <w:pPr>
        <w:pStyle w:val="Normal"/>
        <w:shd w:val="clear" w:color="auto" w:fill="FFFFFF"/>
        <w:tabs>
          <w:tab w:val="clear" w:pos="709"/>
          <w:tab w:val="left" w:pos="5866" w:leader="underscore"/>
        </w:tabs>
        <w:rPr>
          <w:sz w:val="26"/>
          <w:szCs w:val="26"/>
        </w:rPr>
      </w:pPr>
      <w:r>
        <w:rPr>
          <w:spacing w:val="-3"/>
          <w:sz w:val="26"/>
          <w:szCs w:val="26"/>
        </w:rPr>
        <w:t>Сторонами и действует до окончания</w:t>
      </w:r>
      <w:r>
        <w:rPr>
          <w:sz w:val="26"/>
          <w:szCs w:val="26"/>
        </w:rPr>
        <w:tab/>
      </w:r>
      <w:r>
        <w:rPr>
          <w:spacing w:val="-6"/>
          <w:sz w:val="26"/>
          <w:szCs w:val="26"/>
        </w:rPr>
        <w:t>года.</w:t>
      </w:r>
    </w:p>
    <w:p>
      <w:pPr>
        <w:pStyle w:val="Normal"/>
        <w:shd w:val="clear" w:color="auto" w:fill="FFFFFF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                           </w:t>
      </w:r>
      <w:r>
        <w:rPr>
          <w:spacing w:val="-1"/>
          <w:sz w:val="26"/>
          <w:szCs w:val="26"/>
        </w:rPr>
        <w:t>6. Заключительные положения</w:t>
      </w:r>
    </w:p>
    <w:p>
      <w:pPr>
        <w:pStyle w:val="Normal"/>
        <w:shd w:val="clear" w:color="auto" w:fill="FFFFFF"/>
        <w:tabs>
          <w:tab w:val="clear" w:pos="709"/>
          <w:tab w:val="left" w:pos="1478" w:leader="none"/>
        </w:tabs>
        <w:jc w:val="both"/>
        <w:rPr>
          <w:sz w:val="26"/>
          <w:szCs w:val="26"/>
        </w:rPr>
      </w:pPr>
      <w:r>
        <w:rPr>
          <w:spacing w:val="-8"/>
          <w:sz w:val="26"/>
          <w:szCs w:val="26"/>
        </w:rPr>
        <w:t>6.1.</w:t>
      </w:r>
      <w:r>
        <w:rPr>
          <w:sz w:val="26"/>
          <w:szCs w:val="26"/>
        </w:rPr>
        <w:t>Изменение настоящего Соглашения осуществляется по взаимному</w:t>
        <w:br/>
        <w:t>согласию Сторон в письменной форме в виде дополнительных соглашений к</w:t>
        <w:br/>
      </w:r>
      <w:r>
        <w:rPr>
          <w:spacing w:val="-1"/>
          <w:sz w:val="26"/>
          <w:szCs w:val="26"/>
        </w:rPr>
        <w:t>настоящему Соглашению, которые являются его неотъемлемой частью.</w:t>
      </w:r>
    </w:p>
    <w:p>
      <w:pPr>
        <w:pStyle w:val="Normal"/>
        <w:shd w:val="clear" w:color="auto" w:fill="FFFFFF"/>
        <w:tabs>
          <w:tab w:val="clear" w:pos="709"/>
          <w:tab w:val="left" w:pos="1387" w:leader="none"/>
        </w:tabs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>6.2.</w:t>
      </w:r>
      <w:r>
        <w:rPr>
          <w:spacing w:val="-1"/>
          <w:sz w:val="26"/>
          <w:szCs w:val="26"/>
        </w:rPr>
        <w:t>Споры между Сторонами решаются путем переговоров или в судебном</w:t>
        <w:br/>
      </w:r>
      <w:r>
        <w:rPr>
          <w:sz w:val="26"/>
          <w:szCs w:val="26"/>
        </w:rPr>
        <w:t>порядке в соответствии с действующим законодательством.</w:t>
      </w:r>
    </w:p>
    <w:p>
      <w:pPr>
        <w:pStyle w:val="Normal"/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6.3. Настоящее Соглашение составлено в трех экземплярах, имеющих одинаковую юридическую силу, в том числе два экземпляра находятся у Учредителя, один - у Учреждения.</w:t>
      </w:r>
    </w:p>
    <w:p>
      <w:pPr>
        <w:pStyle w:val="Normal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jc w:val="center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7. Платежные реквизиты Сторон</w:t>
      </w:r>
    </w:p>
    <w:p>
      <w:pPr>
        <w:pStyle w:val="Normal"/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8923" w:type="dxa"/>
        <w:jc w:val="left"/>
        <w:tblInd w:w="40" w:type="dxa"/>
        <w:tblCellMar>
          <w:top w:w="0" w:type="dxa"/>
          <w:left w:w="40" w:type="dxa"/>
          <w:bottom w:w="0" w:type="dxa"/>
          <w:right w:w="40" w:type="dxa"/>
        </w:tblCellMar>
        <w:tblLook w:val="0000" w:noVBand="0" w:noHBand="0" w:lastColumn="0" w:firstColumn="0" w:lastRow="0" w:firstRow="0"/>
      </w:tblPr>
      <w:tblGrid>
        <w:gridCol w:w="4397"/>
        <w:gridCol w:w="4525"/>
      </w:tblGrid>
      <w:tr>
        <w:trPr>
          <w:trHeight w:val="322" w:hRule="exact"/>
        </w:trPr>
        <w:tc>
          <w:tcPr>
            <w:tcW w:w="4397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Учредитель</w:t>
            </w:r>
          </w:p>
        </w:tc>
        <w:tc>
          <w:tcPr>
            <w:tcW w:w="4525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Учреждение</w:t>
            </w:r>
          </w:p>
        </w:tc>
      </w:tr>
      <w:tr>
        <w:trPr>
          <w:trHeight w:val="302" w:hRule="exact"/>
        </w:trPr>
        <w:tc>
          <w:tcPr>
            <w:tcW w:w="4397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4525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Место нахождения</w:t>
            </w:r>
          </w:p>
        </w:tc>
      </w:tr>
      <w:tr>
        <w:trPr>
          <w:trHeight w:val="355" w:hRule="exact"/>
        </w:trPr>
        <w:tc>
          <w:tcPr>
            <w:tcW w:w="4397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Банковские реквизиты:</w:t>
            </w:r>
          </w:p>
        </w:tc>
        <w:tc>
          <w:tcPr>
            <w:tcW w:w="4525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Банковские реквизиты:</w:t>
            </w:r>
          </w:p>
        </w:tc>
      </w:tr>
      <w:tr>
        <w:trPr>
          <w:trHeight w:val="274" w:hRule="exact"/>
        </w:trPr>
        <w:tc>
          <w:tcPr>
            <w:tcW w:w="4397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счет</w:t>
            </w:r>
          </w:p>
        </w:tc>
        <w:tc>
          <w:tcPr>
            <w:tcW w:w="4525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счет</w:t>
            </w:r>
          </w:p>
        </w:tc>
      </w:tr>
      <w:tr>
        <w:trPr>
          <w:trHeight w:val="326" w:hRule="exact"/>
        </w:trPr>
        <w:tc>
          <w:tcPr>
            <w:tcW w:w="4397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</w:t>
            </w:r>
          </w:p>
        </w:tc>
        <w:tc>
          <w:tcPr>
            <w:tcW w:w="4525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</w:t>
            </w:r>
          </w:p>
        </w:tc>
      </w:tr>
      <w:tr>
        <w:trPr>
          <w:trHeight w:val="322" w:hRule="exact"/>
        </w:trPr>
        <w:tc>
          <w:tcPr>
            <w:tcW w:w="4397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БИК</w:t>
            </w:r>
          </w:p>
        </w:tc>
        <w:tc>
          <w:tcPr>
            <w:tcW w:w="4525" w:type="dxa"/>
            <w:vMerge w:val="restart"/>
            <w:tcBorders/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БИК</w:t>
            </w:r>
          </w:p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КПП</w:t>
            </w:r>
          </w:p>
        </w:tc>
      </w:tr>
      <w:tr>
        <w:trPr>
          <w:trHeight w:val="322" w:hRule="exact"/>
        </w:trPr>
        <w:tc>
          <w:tcPr>
            <w:tcW w:w="4397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КПП</w:t>
            </w:r>
          </w:p>
        </w:tc>
        <w:tc>
          <w:tcPr>
            <w:tcW w:w="4525" w:type="dxa"/>
            <w:vMerge w:val="continue"/>
            <w:tcBorders/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322" w:hRule="exact"/>
        </w:trPr>
        <w:tc>
          <w:tcPr>
            <w:tcW w:w="4397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ОКОПФ</w:t>
            </w:r>
          </w:p>
        </w:tc>
        <w:tc>
          <w:tcPr>
            <w:tcW w:w="4525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ОКОПФ</w:t>
            </w:r>
          </w:p>
        </w:tc>
      </w:tr>
      <w:tr>
        <w:trPr>
          <w:trHeight w:val="562" w:hRule="exact"/>
        </w:trPr>
        <w:tc>
          <w:tcPr>
            <w:tcW w:w="4397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оквэд</w:t>
            </w:r>
          </w:p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525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оквэд</w:t>
            </w:r>
          </w:p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298" w:hRule="exact"/>
        </w:trPr>
        <w:tc>
          <w:tcPr>
            <w:tcW w:w="4397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ОКПО</w:t>
            </w:r>
          </w:p>
        </w:tc>
        <w:tc>
          <w:tcPr>
            <w:tcW w:w="4525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ОКПО</w:t>
            </w:r>
          </w:p>
        </w:tc>
      </w:tr>
      <w:tr>
        <w:trPr>
          <w:trHeight w:val="547" w:hRule="exact"/>
        </w:trPr>
        <w:tc>
          <w:tcPr>
            <w:tcW w:w="4397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оквэд</w:t>
            </w:r>
          </w:p>
        </w:tc>
        <w:tc>
          <w:tcPr>
            <w:tcW w:w="4525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оквэд</w:t>
            </w:r>
          </w:p>
        </w:tc>
      </w:tr>
      <w:tr>
        <w:trPr>
          <w:trHeight w:val="331" w:hRule="exact"/>
        </w:trPr>
        <w:tc>
          <w:tcPr>
            <w:tcW w:w="4397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</w:p>
        </w:tc>
        <w:tc>
          <w:tcPr>
            <w:tcW w:w="4525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</w:p>
        </w:tc>
      </w:tr>
      <w:tr>
        <w:trPr>
          <w:trHeight w:val="322" w:hRule="exact"/>
        </w:trPr>
        <w:tc>
          <w:tcPr>
            <w:tcW w:w="4397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(Ф.И.О.)</w:t>
            </w:r>
          </w:p>
        </w:tc>
        <w:tc>
          <w:tcPr>
            <w:tcW w:w="4525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(Ф.И.О.)</w:t>
            </w:r>
          </w:p>
        </w:tc>
      </w:tr>
      <w:tr>
        <w:trPr>
          <w:trHeight w:val="264" w:hRule="exact"/>
        </w:trPr>
        <w:tc>
          <w:tcPr>
            <w:tcW w:w="4397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МП.</w:t>
            </w:r>
          </w:p>
        </w:tc>
        <w:tc>
          <w:tcPr>
            <w:tcW w:w="4525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МП.</w:t>
            </w:r>
          </w:p>
        </w:tc>
      </w:tr>
    </w:tbl>
    <w:p>
      <w:pPr>
        <w:sectPr>
          <w:type w:val="nextPage"/>
          <w:pgSz w:w="11906" w:h="16838"/>
          <w:pgMar w:left="1418" w:right="1136" w:header="0" w:top="1418" w:footer="0" w:bottom="567" w:gutter="0"/>
          <w:pgNumType w:fmt="decimal"/>
          <w:formProt w:val="false"/>
          <w:textDirection w:val="lrTb"/>
          <w:docGrid w:type="default" w:linePitch="100" w:charSpace="0"/>
        </w:sectPr>
        <w:pStyle w:val="Normal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4642" w:type="dxa"/>
        <w:jc w:val="left"/>
        <w:tblInd w:w="4928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42"/>
      </w:tblGrid>
      <w:tr>
        <w:trPr/>
        <w:tc>
          <w:tcPr>
            <w:tcW w:w="4642" w:type="dxa"/>
            <w:tcBorders/>
          </w:tcPr>
          <w:p>
            <w:pPr>
              <w:pStyle w:val="Normal"/>
              <w:shd w:val="clear" w:color="auto" w:fill="FFFFFF"/>
              <w:jc w:val="right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Приложение 3</w:t>
            </w:r>
          </w:p>
          <w:p>
            <w:pPr>
              <w:pStyle w:val="1"/>
              <w:spacing w:before="240" w:after="60"/>
              <w:jc w:val="both"/>
              <w:rPr>
                <w:rFonts w:ascii="Times New Roman" w:hAnsi="Times New Roman" w:cs="Times New Roman"/>
                <w:b w:val="false"/>
                <w:b w:val="fals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spacing w:val="-1"/>
                <w:sz w:val="26"/>
                <w:szCs w:val="26"/>
              </w:rPr>
              <w:t xml:space="preserve">к Порядку </w:t>
            </w:r>
            <w:r>
              <w:rPr>
                <w:rFonts w:cs="Times New Roman" w:ascii="Times New Roman" w:hAnsi="Times New Roman"/>
                <w:b w:val="false"/>
                <w:sz w:val="26"/>
                <w:szCs w:val="26"/>
              </w:rPr>
              <w:t xml:space="preserve">определения объема и условия предоставления субсидий из бюджета Дальнереченского муниципального района муниципальным   бюджетным учреждениям  на иные цели утвержденному постановлением  Администрации Дальнереченского муниципального района  № -па от        г. </w:t>
            </w:r>
          </w:p>
        </w:tc>
      </w:tr>
    </w:tbl>
    <w:p>
      <w:pPr>
        <w:pStyle w:val="Normal"/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jc w:val="center"/>
        <w:rPr>
          <w:sz w:val="26"/>
          <w:szCs w:val="26"/>
        </w:rPr>
      </w:pPr>
      <w:r>
        <w:rPr>
          <w:spacing w:val="-4"/>
          <w:sz w:val="26"/>
          <w:szCs w:val="26"/>
        </w:rPr>
        <w:t>ОТЧЕТ</w:t>
      </w:r>
    </w:p>
    <w:p>
      <w:pPr>
        <w:pStyle w:val="Normal"/>
        <w:shd w:val="clear" w:color="auto" w:fill="FFFFFF"/>
        <w:jc w:val="center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об использовании субсидии на иные цели</w:t>
      </w:r>
    </w:p>
    <w:p>
      <w:pPr>
        <w:pStyle w:val="Normal"/>
        <w:shd w:val="clear" w:color="auto" w:fill="FFFFFF"/>
        <w:jc w:val="center"/>
        <w:rPr>
          <w:sz w:val="26"/>
          <w:szCs w:val="26"/>
        </w:rPr>
      </w:pPr>
      <w:r>
        <w:rPr>
          <w:spacing w:val="-1"/>
          <w:sz w:val="26"/>
          <w:szCs w:val="26"/>
        </w:rPr>
        <w:t>___________________________________________________________</w:t>
      </w:r>
    </w:p>
    <w:p>
      <w:pPr>
        <w:pStyle w:val="Normal"/>
        <w:shd w:val="clear" w:color="auto" w:fill="FFFFFF"/>
        <w:rPr>
          <w:sz w:val="26"/>
          <w:szCs w:val="26"/>
        </w:rPr>
      </w:pPr>
      <w:r>
        <w:rPr>
          <w:i/>
          <w:iCs/>
          <w:spacing w:val="-2"/>
          <w:sz w:val="26"/>
          <w:szCs w:val="26"/>
        </w:rPr>
        <w:t>(наименование муниципального учреждения</w:t>
      </w:r>
    </w:p>
    <w:p>
      <w:pPr>
        <w:pStyle w:val="Normal"/>
        <w:shd w:val="clear" w:color="auto" w:fill="FFFFFF"/>
        <w:tabs>
          <w:tab w:val="clear" w:pos="709"/>
          <w:tab w:val="left" w:pos="3374" w:leader="underscore"/>
          <w:tab w:val="left" w:pos="4416" w:leader="underscore"/>
        </w:tabs>
        <w:spacing w:before="312" w:after="0"/>
        <w:ind w:left="154" w:hanging="0"/>
        <w:jc w:val="center"/>
        <w:rPr>
          <w:sz w:val="26"/>
          <w:szCs w:val="26"/>
        </w:rPr>
      </w:pPr>
      <w:r>
        <w:rPr>
          <w:spacing w:val="-2"/>
          <w:sz w:val="26"/>
          <w:szCs w:val="26"/>
        </w:rPr>
        <w:t>за</w:t>
      </w:r>
      <w:r>
        <w:rPr>
          <w:sz w:val="26"/>
          <w:szCs w:val="26"/>
        </w:rPr>
        <w:tab/>
      </w:r>
      <w:r>
        <w:rPr>
          <w:spacing w:val="-8"/>
          <w:sz w:val="26"/>
          <w:szCs w:val="26"/>
        </w:rPr>
        <w:t>20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>года</w:t>
      </w:r>
    </w:p>
    <w:p>
      <w:pPr>
        <w:pStyle w:val="Normal"/>
        <w:shd w:val="clear" w:color="auto" w:fill="FFFFFF"/>
        <w:ind w:left="3552" w:hanging="0"/>
        <w:rPr>
          <w:sz w:val="26"/>
          <w:szCs w:val="26"/>
        </w:rPr>
      </w:pPr>
      <w:r>
        <w:rPr>
          <w:i/>
          <w:iCs/>
          <w:spacing w:val="-3"/>
          <w:sz w:val="26"/>
          <w:szCs w:val="26"/>
        </w:rPr>
        <w:t xml:space="preserve">(период </w:t>
      </w:r>
      <w:r>
        <w:rPr>
          <w:spacing w:val="-3"/>
          <w:sz w:val="26"/>
          <w:szCs w:val="26"/>
        </w:rPr>
        <w:t xml:space="preserve">с </w:t>
      </w:r>
      <w:r>
        <w:rPr>
          <w:i/>
          <w:iCs/>
          <w:spacing w:val="-3"/>
          <w:sz w:val="26"/>
          <w:szCs w:val="26"/>
        </w:rPr>
        <w:t>начала года)</w:t>
      </w:r>
    </w:p>
    <w:p>
      <w:pPr>
        <w:pStyle w:val="Normal"/>
        <w:spacing w:lineRule="exact" w:line="1" w:before="0" w:after="312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811" w:type="dxa"/>
        <w:jc w:val="left"/>
        <w:tblInd w:w="40" w:type="dxa"/>
        <w:tblCellMar>
          <w:top w:w="0" w:type="dxa"/>
          <w:left w:w="40" w:type="dxa"/>
          <w:bottom w:w="0" w:type="dxa"/>
          <w:right w:w="40" w:type="dxa"/>
        </w:tblCellMar>
        <w:tblLook w:val="0000" w:noVBand="0" w:noHBand="0" w:lastColumn="0" w:firstColumn="0" w:lastRow="0" w:firstRow="0"/>
      </w:tblPr>
      <w:tblGrid>
        <w:gridCol w:w="658"/>
        <w:gridCol w:w="2620"/>
        <w:gridCol w:w="1555"/>
        <w:gridCol w:w="1551"/>
        <w:gridCol w:w="1823"/>
        <w:gridCol w:w="1603"/>
      </w:tblGrid>
      <w:tr>
        <w:trPr>
          <w:trHeight w:val="994" w:hRule="exact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17"/>
              <w:ind w:left="43" w:right="24" w:firstLine="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i/>
                <w:iCs/>
                <w:spacing w:val="-1"/>
                <w:sz w:val="26"/>
                <w:szCs w:val="26"/>
              </w:rPr>
              <w:t>п/п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2"/>
              <w:ind w:left="317" w:right="317" w:firstLine="57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Цели </w:t>
            </w:r>
            <w:r>
              <w:rPr>
                <w:spacing w:val="-3"/>
                <w:sz w:val="26"/>
                <w:szCs w:val="26"/>
              </w:rPr>
              <w:t>использования</w:t>
            </w:r>
          </w:p>
          <w:p>
            <w:pPr>
              <w:pStyle w:val="Normal"/>
              <w:shd w:val="clear" w:color="auto" w:fill="FFFFFF"/>
              <w:spacing w:lineRule="exact" w:line="322"/>
              <w:ind w:left="317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92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расхода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6"/>
              <w:ind w:left="43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</w:t>
            </w:r>
          </w:p>
          <w:p>
            <w:pPr>
              <w:pStyle w:val="Normal"/>
              <w:shd w:val="clear" w:color="auto" w:fill="FFFFFF"/>
              <w:spacing w:lineRule="exact" w:line="326"/>
              <w:ind w:left="43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выплат</w:t>
            </w:r>
          </w:p>
          <w:p>
            <w:pPr>
              <w:pStyle w:val="Normal"/>
              <w:shd w:val="clear" w:color="auto" w:fill="FFFFFF"/>
              <w:spacing w:lineRule="exact" w:line="326"/>
              <w:ind w:left="43" w:hanging="0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(тыс. руб.)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2"/>
              <w:jc w:val="center"/>
              <w:rPr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Начисленные</w:t>
            </w:r>
          </w:p>
          <w:p>
            <w:pPr>
              <w:pStyle w:val="Normal"/>
              <w:shd w:val="clear" w:color="auto" w:fill="FFFFFF"/>
              <w:spacing w:lineRule="exact" w:line="3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</w:t>
            </w:r>
          </w:p>
          <w:p>
            <w:pPr>
              <w:pStyle w:val="Normal"/>
              <w:shd w:val="clear" w:color="auto" w:fill="FFFFFF"/>
              <w:spacing w:lineRule="exact" w:line="322"/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(тыс. руб.)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2"/>
              <w:jc w:val="center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Кассовые</w:t>
            </w:r>
          </w:p>
          <w:p>
            <w:pPr>
              <w:pStyle w:val="Normal"/>
              <w:shd w:val="clear" w:color="auto" w:fill="FFFFFF"/>
              <w:spacing w:lineRule="exact" w:line="322"/>
              <w:ind w:left="53" w:right="86" w:hanging="0"/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расходы </w:t>
            </w:r>
            <w:r>
              <w:rPr>
                <w:spacing w:val="-4"/>
                <w:sz w:val="26"/>
                <w:szCs w:val="26"/>
              </w:rPr>
              <w:t>(тыс. руб.)</w:t>
            </w:r>
          </w:p>
        </w:tc>
      </w:tr>
      <w:tr>
        <w:trPr>
          <w:trHeight w:val="336" w:hRule="exact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97" w:hanging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133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600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595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>
        <w:trPr>
          <w:trHeight w:val="530" w:hRule="exact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62"/>
              <w:ind w:left="187" w:right="182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75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hd w:val="clear" w:color="auto" w:fill="FFFFFF"/>
              <w:ind w:left="1075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331" w:hRule="exact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58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336" w:hRule="exact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68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341" w:hRule="exact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845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shd w:val="clear" w:color="auto" w:fill="FFFFFF"/>
        <w:tabs>
          <w:tab w:val="clear" w:pos="709"/>
          <w:tab w:val="left" w:pos="5261" w:leader="none"/>
        </w:tabs>
        <w:spacing w:lineRule="exact" w:line="317" w:before="5" w:after="0"/>
        <w:ind w:left="149" w:hanging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</w:r>
    </w:p>
    <w:p>
      <w:pPr>
        <w:pStyle w:val="Normal"/>
        <w:shd w:val="clear" w:color="auto" w:fill="FFFFFF"/>
        <w:tabs>
          <w:tab w:val="clear" w:pos="709"/>
          <w:tab w:val="left" w:pos="5261" w:leader="none"/>
        </w:tabs>
        <w:spacing w:lineRule="exact" w:line="317" w:before="5" w:after="0"/>
        <w:ind w:left="149" w:hanging="0"/>
        <w:rPr>
          <w:spacing w:val="-1"/>
          <w:sz w:val="26"/>
          <w:szCs w:val="26"/>
        </w:rPr>
      </w:pPr>
      <w:r>
        <w:rPr>
          <w:spacing w:val="-3"/>
          <w:sz w:val="26"/>
          <w:szCs w:val="26"/>
        </w:rPr>
        <w:t xml:space="preserve">Руководитель муниципального </w:t>
      </w:r>
      <w:r>
        <w:rPr>
          <w:spacing w:val="-1"/>
          <w:sz w:val="26"/>
          <w:szCs w:val="26"/>
        </w:rPr>
        <w:t>бюджетного</w:t>
      </w:r>
    </w:p>
    <w:p>
      <w:pPr>
        <w:pStyle w:val="Normal"/>
        <w:shd w:val="clear" w:color="auto" w:fill="FFFFFF"/>
        <w:tabs>
          <w:tab w:val="clear" w:pos="709"/>
          <w:tab w:val="left" w:pos="5261" w:leader="none"/>
        </w:tabs>
        <w:spacing w:lineRule="exact" w:line="317" w:before="5" w:after="0"/>
        <w:ind w:left="149" w:hanging="0"/>
        <w:rPr>
          <w:spacing w:val="-2"/>
          <w:sz w:val="26"/>
          <w:szCs w:val="26"/>
        </w:rPr>
      </w:pPr>
      <w:r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 xml:space="preserve">(автономного) учреждения </w:t>
      </w:r>
      <w:r>
        <w:rPr>
          <w:spacing w:val="-2"/>
          <w:sz w:val="26"/>
          <w:szCs w:val="26"/>
        </w:rPr>
        <w:t>подпись  ___________________________</w:t>
      </w:r>
    </w:p>
    <w:p>
      <w:pPr>
        <w:pStyle w:val="Normal"/>
        <w:shd w:val="clear" w:color="auto" w:fill="FFFFFF"/>
        <w:tabs>
          <w:tab w:val="clear" w:pos="709"/>
          <w:tab w:val="left" w:pos="5261" w:leader="none"/>
        </w:tabs>
        <w:spacing w:lineRule="exact" w:line="317" w:before="5" w:after="0"/>
        <w:ind w:left="149" w:hanging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pacing w:val="-12"/>
          <w:sz w:val="26"/>
          <w:szCs w:val="26"/>
        </w:rPr>
        <w:t xml:space="preserve"> </w:t>
      </w:r>
    </w:p>
    <w:p>
      <w:pPr>
        <w:pStyle w:val="Normal"/>
        <w:shd w:val="clear" w:color="auto" w:fill="FFFFFF"/>
        <w:tabs>
          <w:tab w:val="clear" w:pos="709"/>
          <w:tab w:val="left" w:pos="5347" w:leader="underscore"/>
        </w:tabs>
        <w:spacing w:before="326" w:after="0"/>
        <w:ind w:left="154" w:hanging="0"/>
        <w:rPr>
          <w:sz w:val="26"/>
          <w:szCs w:val="26"/>
        </w:rPr>
      </w:pPr>
      <w:r>
        <w:rPr>
          <w:spacing w:val="-1"/>
          <w:sz w:val="26"/>
          <w:szCs w:val="26"/>
        </w:rPr>
        <w:t>Главный бухгалтер</w:t>
      </w:r>
      <w:r>
        <w:rPr>
          <w:sz w:val="26"/>
          <w:szCs w:val="26"/>
        </w:rPr>
        <w:tab/>
      </w:r>
      <w:r>
        <w:rPr>
          <w:spacing w:val="-3"/>
          <w:sz w:val="26"/>
          <w:szCs w:val="26"/>
        </w:rPr>
        <w:t>(подпись)________________</w:t>
      </w:r>
    </w:p>
    <w:p>
      <w:pPr>
        <w:pStyle w:val="Normal"/>
        <w:shd w:val="clear" w:color="auto" w:fill="FFFFFF"/>
        <w:spacing w:before="965" w:after="0"/>
        <w:ind w:left="163" w:hanging="0"/>
        <w:rPr>
          <w:sz w:val="26"/>
          <w:szCs w:val="26"/>
        </w:rPr>
      </w:pPr>
      <w:r>
        <w:rPr>
          <w:sz w:val="26"/>
          <w:szCs w:val="26"/>
        </w:rPr>
        <w:t>М.П.</w:t>
      </w:r>
    </w:p>
    <w:p>
      <w:pPr>
        <w:pStyle w:val="Normal"/>
        <w:shd w:val="clear" w:color="auto" w:fill="FFFFFF"/>
        <w:tabs>
          <w:tab w:val="clear" w:pos="709"/>
          <w:tab w:val="left" w:pos="854" w:leader="underscore"/>
          <w:tab w:val="left" w:pos="2822" w:leader="underscore"/>
          <w:tab w:val="left" w:pos="3653" w:leader="underscore"/>
        </w:tabs>
        <w:spacing w:before="312" w:after="0"/>
        <w:ind w:left="173" w:hanging="0"/>
        <w:rPr>
          <w:sz w:val="26"/>
          <w:szCs w:val="26"/>
        </w:rPr>
      </w:pPr>
      <w:r>
        <w:rPr>
          <w:sz w:val="26"/>
          <w:szCs w:val="26"/>
        </w:rPr>
        <w:t>«</w:t>
        <w:tab/>
        <w:t xml:space="preserve">» </w:t>
        <w:tab/>
        <w:t xml:space="preserve"> </w:t>
      </w:r>
      <w:r>
        <w:rPr>
          <w:spacing w:val="-10"/>
          <w:sz w:val="26"/>
          <w:szCs w:val="26"/>
        </w:rPr>
        <w:t>20</w:t>
      </w:r>
      <w:r>
        <w:rPr>
          <w:sz w:val="26"/>
          <w:szCs w:val="26"/>
        </w:rPr>
        <w:tab/>
      </w:r>
      <w:r>
        <w:rPr>
          <w:spacing w:val="-3"/>
          <w:sz w:val="26"/>
          <w:szCs w:val="26"/>
        </w:rPr>
        <w:t>года</w:t>
      </w:r>
    </w:p>
    <w:p>
      <w:pPr>
        <w:pStyle w:val="Style31"/>
        <w:widowControl/>
        <w:jc w:val="both"/>
        <w:rPr>
          <w:rStyle w:val="FontStyle14"/>
          <w:sz w:val="26"/>
          <w:szCs w:val="26"/>
        </w:rPr>
      </w:pPr>
      <w:r>
        <w:rPr>
          <w:sz w:val="26"/>
          <w:szCs w:val="26"/>
        </w:rPr>
      </w:r>
    </w:p>
    <w:p>
      <w:pPr>
        <w:pStyle w:val="Style31"/>
        <w:widowControl/>
        <w:jc w:val="both"/>
        <w:rPr>
          <w:rStyle w:val="FontStyle14"/>
          <w:sz w:val="26"/>
          <w:szCs w:val="26"/>
        </w:rPr>
      </w:pPr>
      <w:r>
        <w:rPr>
          <w:sz w:val="26"/>
          <w:szCs w:val="26"/>
        </w:rPr>
      </w:r>
    </w:p>
    <w:p>
      <w:pPr>
        <w:pStyle w:val="Style31"/>
        <w:widowControl/>
        <w:jc w:val="both"/>
        <w:rPr>
          <w:rStyle w:val="FontStyle14"/>
          <w:sz w:val="26"/>
          <w:szCs w:val="26"/>
        </w:rPr>
      </w:pPr>
      <w:r>
        <w:rPr>
          <w:sz w:val="26"/>
          <w:szCs w:val="26"/>
        </w:rPr>
      </w:r>
    </w:p>
    <w:p>
      <w:pPr>
        <w:pStyle w:val="Style31"/>
        <w:widowControl/>
        <w:jc w:val="both"/>
        <w:rPr>
          <w:rStyle w:val="FontStyle14"/>
          <w:sz w:val="26"/>
          <w:szCs w:val="26"/>
        </w:rPr>
      </w:pPr>
      <w:r>
        <w:rPr>
          <w:sz w:val="26"/>
          <w:szCs w:val="26"/>
        </w:rPr>
      </w:r>
    </w:p>
    <w:p>
      <w:pPr>
        <w:pStyle w:val="Style31"/>
        <w:widowControl/>
        <w:jc w:val="both"/>
        <w:rPr>
          <w:rStyle w:val="FontStyle14"/>
          <w:sz w:val="26"/>
          <w:szCs w:val="26"/>
        </w:rPr>
      </w:pPr>
      <w:r>
        <w:rPr>
          <w:sz w:val="26"/>
          <w:szCs w:val="26"/>
        </w:rPr>
      </w:r>
    </w:p>
    <w:p>
      <w:pPr>
        <w:pStyle w:val="Style31"/>
        <w:widowControl/>
        <w:jc w:val="both"/>
        <w:rPr>
          <w:rStyle w:val="FontStyle14"/>
          <w:sz w:val="26"/>
          <w:szCs w:val="26"/>
        </w:rPr>
      </w:pPr>
      <w:r>
        <w:rPr>
          <w:sz w:val="26"/>
          <w:szCs w:val="26"/>
        </w:rPr>
      </w:r>
    </w:p>
    <w:p>
      <w:pPr>
        <w:pStyle w:val="Style31"/>
        <w:widowControl/>
        <w:jc w:val="both"/>
        <w:rPr>
          <w:sz w:val="26"/>
          <w:szCs w:val="26"/>
        </w:rPr>
      </w:pPr>
      <w:r>
        <w:rPr/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Courier New">
    <w:charset w:val="01"/>
    <w:family w:val="swiss"/>
    <w:pitch w:val="default"/>
  </w:font>
  <w:font w:name="Times New Roman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5535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082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92082d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92082d"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FontStyle14" w:customStyle="1">
    <w:name w:val="Font Style14"/>
    <w:qFormat/>
    <w:rsid w:val="0092082d"/>
    <w:rPr>
      <w:rFonts w:ascii="Times New Roman" w:hAnsi="Times New Roman" w:cs="Times New Roman"/>
      <w:sz w:val="32"/>
      <w:szCs w:val="32"/>
    </w:rPr>
  </w:style>
  <w:style w:type="character" w:styleId="Style13" w:customStyle="1">
    <w:name w:val="Основной текст Знак"/>
    <w:basedOn w:val="DefaultParagraphFont"/>
    <w:link w:val="a4"/>
    <w:qFormat/>
    <w:rsid w:val="0092082d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4">
    <w:name w:val="Интернет-ссылка"/>
    <w:basedOn w:val="DefaultParagraphFont"/>
    <w:uiPriority w:val="99"/>
    <w:semiHidden/>
    <w:unhideWhenUsed/>
    <w:rsid w:val="0092082d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fe63bf"/>
    <w:rPr>
      <w:rFonts w:ascii="Tahoma" w:hAnsi="Tahoma" w:eastAsia="Times New Roman" w:cs="Tahoma"/>
      <w:sz w:val="16"/>
      <w:szCs w:val="16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link w:val="a5"/>
    <w:rsid w:val="0092082d"/>
    <w:pPr>
      <w:jc w:val="center"/>
    </w:pPr>
    <w:rPr>
      <w:sz w:val="28"/>
    </w:rPr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31" w:customStyle="1">
    <w:name w:val="Style3"/>
    <w:basedOn w:val="Normal"/>
    <w:qFormat/>
    <w:rsid w:val="0092082d"/>
    <w:pPr>
      <w:widowControl w:val="false"/>
    </w:pPr>
    <w:rPr/>
  </w:style>
  <w:style w:type="paragraph" w:styleId="ConsPlusNonformat" w:customStyle="1">
    <w:name w:val="ConsPlusNonformat"/>
    <w:qFormat/>
    <w:rsid w:val="0092082d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Style21" w:customStyle="1">
    <w:name w:val="Стиль в законе"/>
    <w:basedOn w:val="Normal"/>
    <w:qFormat/>
    <w:rsid w:val="0092082d"/>
    <w:pPr>
      <w:spacing w:lineRule="auto" w:line="360" w:before="120" w:after="0"/>
      <w:ind w:firstLine="851"/>
      <w:jc w:val="both"/>
    </w:pPr>
    <w:rPr>
      <w:sz w:val="28"/>
      <w:szCs w:val="20"/>
    </w:rPr>
  </w:style>
  <w:style w:type="paragraph" w:styleId="Formattext" w:customStyle="1">
    <w:name w:val="formattext"/>
    <w:basedOn w:val="Normal"/>
    <w:qFormat/>
    <w:rsid w:val="00d747a2"/>
    <w:pPr>
      <w:spacing w:beforeAutospacing="1" w:afterAutospacing="1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fe63b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FD47A-CE2D-4AAE-AEF2-148505F4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Application>LibreOffice/6.4.4.2$Linux_X86_64 LibreOffice_project/40$Build-2</Application>
  <Pages>9</Pages>
  <Words>1899</Words>
  <Characters>14967</Characters>
  <CharactersWithSpaces>17289</CharactersWithSpaces>
  <Paragraphs>196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2016-01-19T02:02:00Z</dcterms:created>
  <dc:creator>Е.В. Марченко</dc:creator>
  <dc:description/>
  <dc:language>ru-RU</dc:language>
  <cp:lastModifiedBy/>
  <cp:lastPrinted>2016-01-20T05:00:00Z</cp:lastPrinted>
  <dcterms:modified xsi:type="dcterms:W3CDTF">2021-02-11T09:21:36Z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